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spacing w:before="0" w:after="0" w:line="560" w:lineRule="exact"/>
        <w:rPr>
          <w:rFonts w:hint="eastAsia"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rPr>
        <w:t>鼓楼区省级商务发展提质增效</w:t>
      </w:r>
      <w:r>
        <w:rPr>
          <w:rFonts w:hint="eastAsia" w:ascii="方正小标宋简体" w:hAnsi="方正小标宋简体" w:eastAsia="方正小标宋简体" w:cs="方正小标宋简体"/>
          <w:b w:val="0"/>
          <w:bCs w:val="0"/>
        </w:rPr>
        <w:br w:type="textWrapping"/>
      </w:r>
      <w:r>
        <w:rPr>
          <w:rFonts w:hint="eastAsia" w:ascii="方正小标宋简体" w:hAnsi="方正小标宋简体" w:eastAsia="方正小标宋简体" w:cs="方正小标宋简体"/>
          <w:b w:val="0"/>
          <w:bCs w:val="0"/>
        </w:rPr>
        <w:t>试点项目管理办法</w:t>
      </w:r>
    </w:p>
    <w:p>
      <w:pPr>
        <w:pStyle w:val="20"/>
        <w:spacing w:before="0" w:after="0" w:line="560" w:lineRule="exact"/>
        <w:rPr>
          <w:rFonts w:hint="eastAsia" w:ascii="楷体" w:hAnsi="楷体" w:eastAsia="楷体" w:cs="楷体"/>
          <w:b w:val="0"/>
          <w:bCs w:val="0"/>
          <w:sz w:val="32"/>
          <w:szCs w:val="32"/>
        </w:rPr>
      </w:pPr>
      <w:r>
        <w:rPr>
          <w:rFonts w:hint="eastAsia" w:ascii="楷体" w:hAnsi="楷体" w:eastAsia="楷体" w:cs="楷体"/>
          <w:b w:val="0"/>
          <w:bCs w:val="0"/>
          <w:sz w:val="32"/>
          <w:szCs w:val="32"/>
        </w:rPr>
        <w:t>（</w:t>
      </w:r>
      <w:r>
        <w:rPr>
          <w:rFonts w:hint="eastAsia" w:ascii="楷体" w:hAnsi="楷体" w:eastAsia="楷体" w:cs="楷体"/>
          <w:b w:val="0"/>
          <w:bCs w:val="0"/>
          <w:sz w:val="32"/>
          <w:szCs w:val="32"/>
          <w:lang w:eastAsia="zh-CN"/>
        </w:rPr>
        <w:t>征求意见稿</w:t>
      </w:r>
      <w:r>
        <w:rPr>
          <w:rFonts w:hint="eastAsia" w:ascii="楷体" w:hAnsi="楷体" w:eastAsia="楷体" w:cs="楷体"/>
          <w:b w:val="0"/>
          <w:bCs w:val="0"/>
          <w:sz w:val="32"/>
          <w:szCs w:val="32"/>
        </w:rPr>
        <w:t>）</w:t>
      </w:r>
    </w:p>
    <w:p>
      <w:pPr>
        <w:pStyle w:val="21"/>
        <w:pBdr>
          <w:top w:val="none" w:color="auto" w:sz="0" w:space="1"/>
          <w:left w:val="none" w:color="auto" w:sz="0" w:space="4"/>
          <w:right w:val="none" w:color="auto" w:sz="0" w:space="4"/>
        </w:pBdr>
        <w:overflowPunct w:val="0"/>
        <w:spacing w:before="0" w:after="0" w:line="560" w:lineRule="exact"/>
        <w:rPr>
          <w:rFonts w:hint="eastAsia" w:cs="黑体"/>
          <w:bCs/>
          <w:kern w:val="0"/>
          <w:sz w:val="32"/>
          <w:szCs w:val="32"/>
        </w:rPr>
      </w:pPr>
    </w:p>
    <w:p>
      <w:pPr>
        <w:pStyle w:val="21"/>
        <w:pBdr>
          <w:top w:val="none" w:color="auto" w:sz="0" w:space="1"/>
          <w:left w:val="none" w:color="auto" w:sz="0" w:space="4"/>
          <w:right w:val="none" w:color="auto" w:sz="0" w:space="4"/>
        </w:pBdr>
        <w:overflowPunct w:val="0"/>
        <w:spacing w:before="0" w:after="0" w:line="560" w:lineRule="exact"/>
        <w:rPr>
          <w:rFonts w:hint="eastAsia" w:cs="黑体"/>
          <w:bCs/>
          <w:kern w:val="0"/>
          <w:sz w:val="32"/>
          <w:szCs w:val="32"/>
        </w:rPr>
      </w:pPr>
      <w:r>
        <w:rPr>
          <w:rFonts w:hint="eastAsia" w:cs="黑体"/>
          <w:bCs/>
          <w:kern w:val="0"/>
          <w:sz w:val="32"/>
          <w:szCs w:val="32"/>
        </w:rPr>
        <w:t>第一章 总 则</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kern w:val="0"/>
          <w:sz w:val="32"/>
          <w:szCs w:val="32"/>
        </w:rPr>
        <w:t>第一条</w:t>
      </w:r>
      <w:r>
        <w:rPr>
          <w:rFonts w:hint="eastAsia" w:ascii="仿宋_GB2312" w:hAnsi="仿宋_GB2312" w:eastAsia="仿宋_GB2312" w:cs="仿宋_GB2312"/>
          <w:kern w:val="0"/>
          <w:sz w:val="32"/>
          <w:szCs w:val="32"/>
        </w:rPr>
        <w:t xml:space="preserve"> </w:t>
      </w:r>
      <w:r>
        <w:rPr>
          <w:rFonts w:hint="eastAsia" w:ascii="仿宋_GB2312" w:hAnsi="仿宋_GB2312" w:eastAsia="仿宋_GB2312" w:cs="仿宋_GB2312"/>
          <w:sz w:val="32"/>
          <w:szCs w:val="32"/>
        </w:rPr>
        <w:t>为加快推进鼓楼区</w:t>
      </w:r>
      <w:r>
        <w:rPr>
          <w:rFonts w:hint="eastAsia" w:ascii="仿宋_GB2312" w:hAnsi="仿宋_GB2312" w:eastAsia="仿宋_GB2312" w:cs="仿宋_GB2312"/>
          <w:kern w:val="0"/>
          <w:sz w:val="32"/>
          <w:szCs w:val="32"/>
        </w:rPr>
        <w:t>省级商务发展提质增效试点</w:t>
      </w:r>
      <w:r>
        <w:rPr>
          <w:rFonts w:hint="eastAsia" w:ascii="仿宋_GB2312" w:hAnsi="仿宋_GB2312" w:eastAsia="仿宋_GB2312" w:cs="仿宋_GB2312"/>
          <w:sz w:val="32"/>
          <w:szCs w:val="32"/>
        </w:rPr>
        <w:t>建设、规范项目管理、提高财政资金使用效益，根据《福建省商务厅 福建省财政厅关于开展</w:t>
      </w:r>
      <w:r>
        <w:rPr>
          <w:rFonts w:hint="eastAsia" w:ascii="仿宋_GB2312" w:hAnsi="仿宋_GB2312" w:eastAsia="仿宋_GB2312" w:cs="仿宋_GB2312"/>
          <w:kern w:val="0"/>
          <w:sz w:val="32"/>
          <w:szCs w:val="32"/>
        </w:rPr>
        <w:t>省级商务发展提质增效试点</w:t>
      </w:r>
      <w:r>
        <w:rPr>
          <w:rFonts w:hint="eastAsia" w:ascii="仿宋_GB2312" w:hAnsi="仿宋_GB2312" w:eastAsia="仿宋_GB2312" w:cs="仿宋_GB2312"/>
          <w:sz w:val="32"/>
          <w:szCs w:val="32"/>
        </w:rPr>
        <w:t>工作的通知》（闽商务〔2025〕217号）等文件精神，结合《鼓楼区</w:t>
      </w:r>
      <w:r>
        <w:rPr>
          <w:rFonts w:hint="eastAsia" w:ascii="仿宋_GB2312" w:hAnsi="仿宋_GB2312" w:eastAsia="仿宋_GB2312" w:cs="仿宋_GB2312"/>
          <w:kern w:val="0"/>
          <w:sz w:val="32"/>
          <w:szCs w:val="32"/>
        </w:rPr>
        <w:t>省级商务发展提质增效试点</w:t>
      </w:r>
      <w:r>
        <w:rPr>
          <w:rFonts w:hint="eastAsia" w:ascii="仿宋_GB2312" w:hAnsi="仿宋_GB2312" w:eastAsia="仿宋_GB2312" w:cs="仿宋_GB2312"/>
          <w:sz w:val="32"/>
          <w:szCs w:val="32"/>
        </w:rPr>
        <w:t>实施方案》及工作实际，制定本办法。</w:t>
      </w:r>
    </w:p>
    <w:p>
      <w:pPr>
        <w:widowControl/>
        <w:spacing w:line="560" w:lineRule="exact"/>
        <w:ind w:firstLine="640"/>
        <w:jc w:val="left"/>
        <w:rPr>
          <w:rFonts w:hint="eastAsia" w:ascii="仿宋_GB2312" w:hAnsi="仿宋_GB2312" w:eastAsia="仿宋_GB2312" w:cs="仿宋_GB2312"/>
          <w:kern w:val="0"/>
          <w:sz w:val="32"/>
          <w:szCs w:val="32"/>
        </w:rPr>
      </w:pPr>
      <w:r>
        <w:rPr>
          <w:rFonts w:hint="eastAsia" w:ascii="仿宋_GB2312" w:hAnsi="仿宋_GB2312" w:eastAsia="仿宋_GB2312" w:cs="仿宋_GB2312"/>
          <w:b/>
          <w:kern w:val="0"/>
          <w:sz w:val="32"/>
          <w:szCs w:val="32"/>
        </w:rPr>
        <w:t>第二条</w:t>
      </w:r>
      <w:r>
        <w:rPr>
          <w:rFonts w:hint="eastAsia" w:ascii="仿宋_GB2312" w:hAnsi="仿宋_GB2312" w:eastAsia="仿宋_GB2312" w:cs="仿宋_GB2312"/>
          <w:sz w:val="32"/>
          <w:szCs w:val="32"/>
        </w:rPr>
        <w:t xml:space="preserve"> 本办法所称鼓楼区省级商务发展提质增效试点项目（以下简称“试点项目”）是指符合本办法及《鼓楼区省级商务发展提质增效试点项目资金管理办法》等有关规定，</w:t>
      </w:r>
      <w:r>
        <w:rPr>
          <w:rFonts w:hint="eastAsia" w:ascii="仿宋_GB2312" w:hAnsi="仿宋_GB2312" w:eastAsia="仿宋_GB2312" w:cs="仿宋_GB2312"/>
          <w:kern w:val="0"/>
          <w:sz w:val="32"/>
          <w:szCs w:val="32"/>
        </w:rPr>
        <w:t>通过项目公开遴选程序审核确定入库，享受试点资金支持的项目。</w:t>
      </w:r>
    </w:p>
    <w:p>
      <w:pPr>
        <w:pBdr>
          <w:top w:val="none" w:color="auto" w:sz="0" w:space="1"/>
          <w:left w:val="none" w:color="auto" w:sz="0" w:space="4"/>
          <w:bottom w:val="none" w:color="auto" w:sz="0" w:space="1"/>
          <w:right w:val="none" w:color="auto" w:sz="0" w:space="4"/>
        </w:pBdr>
        <w:overflowPunct w:val="0"/>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kern w:val="0"/>
          <w:sz w:val="32"/>
          <w:szCs w:val="32"/>
        </w:rPr>
        <w:t xml:space="preserve">第三条 </w:t>
      </w:r>
      <w:r>
        <w:rPr>
          <w:rFonts w:hint="eastAsia" w:ascii="仿宋_GB2312" w:hAnsi="仿宋_GB2312" w:eastAsia="仿宋_GB2312" w:cs="仿宋_GB2312"/>
          <w:sz w:val="32"/>
          <w:szCs w:val="32"/>
        </w:rPr>
        <w:t>项目管理应当遵循目标导向、权责对等、风险控制、动态改进的原则。</w:t>
      </w:r>
    </w:p>
    <w:p>
      <w:pPr>
        <w:pBdr>
          <w:top w:val="none" w:color="auto" w:sz="0" w:space="1"/>
          <w:left w:val="none" w:color="auto" w:sz="0" w:space="4"/>
          <w:bottom w:val="none" w:color="auto" w:sz="0" w:space="1"/>
          <w:right w:val="none" w:color="auto" w:sz="0" w:space="4"/>
        </w:pBdr>
        <w:overflowPunct w:val="0"/>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kern w:val="0"/>
          <w:sz w:val="32"/>
          <w:szCs w:val="32"/>
        </w:rPr>
        <w:t xml:space="preserve">第四条 </w:t>
      </w:r>
      <w:r>
        <w:rPr>
          <w:rFonts w:hint="eastAsia" w:ascii="仿宋_GB2312" w:hAnsi="仿宋_GB2312" w:eastAsia="仿宋_GB2312" w:cs="仿宋_GB2312"/>
          <w:sz w:val="32"/>
          <w:szCs w:val="32"/>
        </w:rPr>
        <w:t>各相关单位按职责分工落实、推进试点工作。具体职责分工如下：</w:t>
      </w:r>
    </w:p>
    <w:p>
      <w:pPr>
        <w:pBdr>
          <w:top w:val="none" w:color="auto" w:sz="0" w:space="1"/>
          <w:left w:val="none" w:color="auto" w:sz="0" w:space="4"/>
          <w:bottom w:val="none" w:color="auto" w:sz="0" w:space="1"/>
          <w:right w:val="none" w:color="auto" w:sz="0" w:space="4"/>
        </w:pBdr>
        <w:overflowPunct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（一）区商务局。负责制定项目管理办法等制度，组织项目申报、项目库管理、项目评审验收、监督检查、绩效评价等工作；负责与入库项目单位签订财政资金补助协议，确保项目长期稳定发挥效用。</w:t>
      </w:r>
    </w:p>
    <w:p>
      <w:pPr>
        <w:pBdr>
          <w:top w:val="none" w:color="auto" w:sz="0" w:space="1"/>
          <w:left w:val="none" w:color="auto" w:sz="0" w:space="4"/>
          <w:bottom w:val="none" w:color="auto" w:sz="0" w:space="1"/>
          <w:right w:val="none" w:color="auto" w:sz="0" w:space="4"/>
        </w:pBdr>
        <w:overflowPunct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（二）区财政局。配合区商务局做好项目资金管理，指导和监督资金的使用和绩效评价。</w:t>
      </w:r>
    </w:p>
    <w:p>
      <w:pPr>
        <w:pBdr>
          <w:top w:val="none" w:color="auto" w:sz="0" w:space="1"/>
          <w:left w:val="none" w:color="auto" w:sz="0" w:space="4"/>
          <w:bottom w:val="none" w:color="auto" w:sz="0" w:space="1"/>
          <w:right w:val="none" w:color="auto" w:sz="0" w:space="4"/>
        </w:pBdr>
        <w:overflowPunct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（三）区直相关部门。区文体旅局、区民政局、</w:t>
      </w:r>
      <w:r>
        <w:rPr>
          <w:rFonts w:hint="eastAsia" w:ascii="仿宋_GB2312" w:hAnsi="仿宋_GB2312" w:eastAsia="仿宋_GB2312" w:cs="仿宋_GB2312"/>
          <w:sz w:val="32"/>
          <w:szCs w:val="32"/>
          <w:lang w:eastAsia="zh-CN"/>
        </w:rPr>
        <w:t>区国资中心</w:t>
      </w:r>
      <w:r>
        <w:rPr>
          <w:rFonts w:hint="eastAsia" w:ascii="仿宋_GB2312" w:hAnsi="仿宋_GB2312" w:eastAsia="仿宋_GB2312" w:cs="仿宋_GB2312"/>
          <w:sz w:val="32"/>
          <w:szCs w:val="32"/>
        </w:rPr>
        <w:t>区</w:t>
      </w:r>
      <w:r>
        <w:rPr>
          <w:rFonts w:hint="eastAsia" w:ascii="仿宋_GB2312" w:hAnsi="仿宋_GB2312" w:eastAsia="仿宋_GB2312" w:cs="仿宋_GB2312"/>
          <w:sz w:val="32"/>
          <w:szCs w:val="32"/>
          <w:lang w:eastAsia="zh-CN"/>
        </w:rPr>
        <w:t>、区城投集团、区国投集团</w:t>
      </w:r>
      <w:r>
        <w:rPr>
          <w:rFonts w:hint="eastAsia" w:ascii="仿宋_GB2312" w:hAnsi="仿宋_GB2312" w:eastAsia="仿宋_GB2312" w:cs="仿宋_GB2312"/>
          <w:sz w:val="32"/>
          <w:szCs w:val="32"/>
        </w:rPr>
        <w:t>等部门，按照各自职责配合开展项目实施和管理，积极宣传试点政策，筛选推荐优质项目。</w:t>
      </w:r>
      <w:bookmarkStart w:id="9" w:name="_GoBack"/>
      <w:bookmarkEnd w:id="9"/>
    </w:p>
    <w:p>
      <w:pPr>
        <w:pBdr>
          <w:top w:val="none" w:color="auto" w:sz="0" w:space="1"/>
          <w:left w:val="none" w:color="auto" w:sz="0" w:space="4"/>
          <w:bottom w:val="none" w:color="auto" w:sz="0" w:space="1"/>
          <w:right w:val="none" w:color="auto" w:sz="0" w:space="4"/>
        </w:pBdr>
        <w:overflowPunct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（四）项目单位。负责推进项目的具体实施，对项目建设质量、进度及绩效等承担主体责任；配合做好项目监督检查、审计验收、绩效考核管理等工作。</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kern w:val="2"/>
          <w:sz w:val="32"/>
          <w:szCs w:val="32"/>
        </w:rPr>
        <w:t>（五）第三方机构。受区商务局委托，辅助开展项目评审、过程监理、审计验收、绩效评价等专业服务工作。</w:t>
      </w:r>
    </w:p>
    <w:p>
      <w:pPr>
        <w:pStyle w:val="21"/>
        <w:pBdr>
          <w:top w:val="none" w:color="auto" w:sz="0" w:space="1"/>
          <w:left w:val="none" w:color="auto" w:sz="0" w:space="4"/>
          <w:right w:val="none" w:color="auto" w:sz="0" w:space="4"/>
        </w:pBdr>
        <w:overflowPunct w:val="0"/>
        <w:spacing w:before="0" w:after="0" w:line="560" w:lineRule="exact"/>
        <w:rPr>
          <w:rFonts w:hint="eastAsia" w:cs="黑体"/>
          <w:bCs/>
          <w:kern w:val="0"/>
          <w:sz w:val="32"/>
          <w:szCs w:val="32"/>
        </w:rPr>
      </w:pPr>
      <w:r>
        <w:rPr>
          <w:rFonts w:hint="eastAsia" w:cs="黑体"/>
          <w:bCs/>
          <w:kern w:val="0"/>
          <w:sz w:val="32"/>
          <w:szCs w:val="32"/>
        </w:rPr>
        <w:t>第二章 项目申报与遴选</w:t>
      </w:r>
    </w:p>
    <w:p>
      <w:pPr>
        <w:pStyle w:val="8"/>
        <w:spacing w:before="0" w:beforeAutospacing="0" w:after="0" w:afterAutospacing="0" w:line="560" w:lineRule="exact"/>
        <w:ind w:left="75" w:right="75" w:firstLine="642"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 xml:space="preserve">第五条 </w:t>
      </w:r>
      <w:r>
        <w:rPr>
          <w:rFonts w:hint="eastAsia" w:ascii="仿宋_GB2312" w:hAnsi="仿宋_GB2312" w:eastAsia="仿宋_GB2312" w:cs="仿宋_GB2312"/>
          <w:sz w:val="32"/>
          <w:szCs w:val="32"/>
        </w:rPr>
        <w:t>公开遴选机制。</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健全公开遴选机制，明确项目选择标准和依据，严格履行专业评审、集体决策、公开公示等程序，确保遴选的项目符合政策支持方向，遵循公平公正原则。对企业具有自驱力的项目、对高污染等负外部性的项目、对产能过剩的项目原则上不予补助。</w:t>
      </w:r>
    </w:p>
    <w:p>
      <w:pPr>
        <w:pStyle w:val="8"/>
        <w:spacing w:before="0" w:beforeAutospacing="0" w:after="0" w:afterAutospacing="0" w:line="560" w:lineRule="exact"/>
        <w:ind w:left="75" w:right="75"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第六条 </w:t>
      </w:r>
      <w:r>
        <w:rPr>
          <w:rFonts w:hint="eastAsia" w:ascii="仿宋_GB2312" w:hAnsi="仿宋_GB2312" w:eastAsia="仿宋_GB2312" w:cs="仿宋_GB2312"/>
          <w:sz w:val="32"/>
          <w:szCs w:val="32"/>
        </w:rPr>
        <w:t>申报项目须同时满足以下要求：</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（一）建设内容符合《鼓楼区省级商务发展提质增效试点资金管理办法》规定的支持方向，预期成效良好；</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（二）建设地点位于鼓楼区辖区；</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（三）应为在建和待建项目，属于在建项目的，截至2025年底的建设进度应低于50%；</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（四）有明确的建设方案，资金来源已落实并有合理的支出计划安排；</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（五）需要立项、环评、规划、施工许可等手续的项目，应手续齐全；不涉及土木建筑工程的项目，免于提供建设施工许可等材料；</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（六）同一项目单位申报的不同项目，应有不同的项目建设内容，原则上不得刻意拆分项目。拟申报的项目可以符合一个或多个支持方向，但仅按申报的支持方向给予资金支持，不得重复支持。</w:t>
      </w:r>
    </w:p>
    <w:p>
      <w:pPr>
        <w:pStyle w:val="8"/>
        <w:spacing w:before="0" w:beforeAutospacing="0" w:after="0" w:afterAutospacing="0" w:line="560" w:lineRule="exact"/>
        <w:ind w:left="75" w:right="75"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第七条 </w:t>
      </w:r>
      <w:r>
        <w:rPr>
          <w:rFonts w:hint="eastAsia" w:ascii="仿宋_GB2312" w:hAnsi="仿宋_GB2312" w:eastAsia="仿宋_GB2312" w:cs="仿宋_GB2312"/>
          <w:sz w:val="32"/>
          <w:szCs w:val="32"/>
        </w:rPr>
        <w:t>项目单位须同时满足以下要求：</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（一）依法登记注册、获得营业执照、具有相关经营资质且在本区辖区内开展实质性经营活动的市场主体或相关机构；</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（二）应为项目实际投资和运营主体，不接受两家及以上单位联合申报；</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（三）未被列入政府采购严重违法失信行为记录名单、重大税收违法失信主体、经营异常名录；</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（四）财务状况良好，不存在资金链断裂、账户被冻结等风险问题，具备承担项目实施的能力；</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（五）承诺资金真实、不重复申报、合规使用和有效管理；应对申报材料的真实性、合法性、完整性负责；应签订财政资金补助协议并按约定承担违约责任；</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（六）愿意配合开展试点工作，建立工作台账，报送工作进展及相关数据，配合相关部门完成统计监测、宣传培训、调度审查等工作；</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（七）近3年无较大及以上生产安全事故记录。</w:t>
      </w:r>
    </w:p>
    <w:p>
      <w:pPr>
        <w:pStyle w:val="8"/>
        <w:spacing w:before="0" w:beforeAutospacing="0" w:after="0" w:afterAutospacing="0" w:line="560" w:lineRule="exact"/>
        <w:ind w:left="75" w:right="75"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第八条</w:t>
      </w:r>
      <w:r>
        <w:rPr>
          <w:rFonts w:hint="eastAsia" w:ascii="仿宋_GB2312" w:hAnsi="仿宋_GB2312" w:eastAsia="仿宋_GB2312" w:cs="仿宋_GB2312"/>
          <w:sz w:val="32"/>
          <w:szCs w:val="32"/>
        </w:rPr>
        <w:t xml:space="preserve"> 项目单位需提供以下申报材料：</w:t>
      </w:r>
    </w:p>
    <w:p>
      <w:pPr>
        <w:pStyle w:val="8"/>
        <w:shd w:val="clear" w:color="auto" w:fill="FFFFFF"/>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（一）项目申请书和申报承诺书；</w:t>
      </w:r>
    </w:p>
    <w:p>
      <w:pPr>
        <w:pStyle w:val="8"/>
        <w:shd w:val="clear" w:color="auto" w:fill="FFFFFF"/>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（二）项目可行性报告或项目建设方案，项目建设地址须在鼓楼区范围内； </w:t>
      </w:r>
    </w:p>
    <w:p>
      <w:pPr>
        <w:pStyle w:val="8"/>
        <w:shd w:val="clear" w:color="auto" w:fill="FFFFFF"/>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（三）企业营业执照副本复印件并加盖公章；</w:t>
      </w:r>
    </w:p>
    <w:p>
      <w:pPr>
        <w:pStyle w:val="8"/>
        <w:shd w:val="clear" w:color="auto" w:fill="FFFFFF"/>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（四）项目单位上一年度财务报表（加盖公章）或审计报告；</w:t>
      </w:r>
    </w:p>
    <w:p>
      <w:pPr>
        <w:pStyle w:val="8"/>
        <w:shd w:val="clear" w:color="auto" w:fill="FFFFFF"/>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（五）需要立项、环评、规划、施工许可等手续的项目，提供相关批复文件；</w:t>
      </w:r>
    </w:p>
    <w:p>
      <w:pPr>
        <w:pStyle w:val="8"/>
        <w:shd w:val="clear" w:color="auto" w:fill="FFFFFF"/>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（六）自筹资金证明材料、已经投入资金有效凭证或专项审计报告；</w:t>
      </w:r>
    </w:p>
    <w:p>
      <w:pPr>
        <w:pStyle w:val="8"/>
        <w:shd w:val="clear" w:color="auto" w:fill="FFFFFF"/>
        <w:spacing w:before="0" w:beforeAutospacing="0" w:after="0" w:afterAutospacing="0" w:line="560" w:lineRule="exact"/>
        <w:ind w:firstLine="640" w:firstLineChars="200"/>
        <w:jc w:val="both"/>
        <w:rPr>
          <w:rFonts w:hint="eastAsia" w:ascii="仿宋_GB2312" w:hAnsi="仿宋_GB2312" w:eastAsia="仿宋_GB2312" w:cs="仿宋_GB2312"/>
          <w:sz w:val="32"/>
          <w:szCs w:val="32"/>
        </w:rPr>
      </w:pPr>
      <w:bookmarkStart w:id="0" w:name="OLE_LINK17"/>
      <w:bookmarkStart w:id="1" w:name="OLE_LINK18"/>
      <w:r>
        <w:rPr>
          <w:rFonts w:hint="eastAsia" w:ascii="仿宋_GB2312" w:hAnsi="仿宋_GB2312" w:eastAsia="仿宋_GB2312" w:cs="仿宋_GB2312"/>
          <w:sz w:val="32"/>
          <w:szCs w:val="32"/>
        </w:rPr>
        <w:t>（七）</w:t>
      </w:r>
      <w:bookmarkEnd w:id="0"/>
      <w:bookmarkEnd w:id="1"/>
      <w:r>
        <w:rPr>
          <w:rFonts w:hint="eastAsia" w:ascii="仿宋_GB2312" w:hAnsi="仿宋_GB2312" w:eastAsia="仿宋_GB2312" w:cs="仿宋_GB2312"/>
          <w:sz w:val="32"/>
          <w:szCs w:val="32"/>
        </w:rPr>
        <w:t>与项目相关的场地证明。自有产权提供产权证明；租赁提供租赁合同及产权方权属证明，转租需提供产权方同意转租授权书；</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bookmarkStart w:id="2" w:name="OLE_LINK31"/>
      <w:bookmarkStart w:id="3" w:name="OLE_LINK30"/>
      <w:bookmarkStart w:id="4" w:name="OLE_LINK29"/>
      <w:r>
        <w:rPr>
          <w:rFonts w:hint="eastAsia" w:ascii="仿宋_GB2312" w:hAnsi="仿宋_GB2312" w:eastAsia="仿宋_GB2312" w:cs="仿宋_GB2312"/>
          <w:sz w:val="32"/>
          <w:szCs w:val="32"/>
        </w:rPr>
        <w:t>（八）</w:t>
      </w:r>
      <w:bookmarkEnd w:id="2"/>
      <w:bookmarkEnd w:id="3"/>
      <w:bookmarkEnd w:id="4"/>
      <w:r>
        <w:rPr>
          <w:rFonts w:hint="eastAsia" w:ascii="仿宋_GB2312" w:hAnsi="仿宋_GB2312" w:eastAsia="仿宋_GB2312" w:cs="仿宋_GB2312"/>
          <w:sz w:val="32"/>
          <w:szCs w:val="32"/>
        </w:rPr>
        <w:t>企业纳税证明材料；</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（九）信用中国平台提供的企业信用报告。</w:t>
      </w:r>
    </w:p>
    <w:p>
      <w:pPr>
        <w:pStyle w:val="8"/>
        <w:spacing w:before="0" w:beforeAutospacing="0" w:after="0" w:afterAutospacing="0" w:line="560" w:lineRule="exact"/>
        <w:ind w:left="75" w:right="75"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第九条</w:t>
      </w:r>
      <w:r>
        <w:rPr>
          <w:rFonts w:hint="eastAsia" w:ascii="仿宋_GB2312" w:hAnsi="仿宋_GB2312" w:eastAsia="仿宋_GB2312" w:cs="仿宋_GB2312"/>
          <w:sz w:val="32"/>
          <w:szCs w:val="32"/>
        </w:rPr>
        <w:t xml:space="preserve"> </w:t>
      </w:r>
      <w:bookmarkStart w:id="5" w:name="OLE_LINK5"/>
      <w:bookmarkStart w:id="6" w:name="OLE_LINK6"/>
      <w:r>
        <w:rPr>
          <w:rFonts w:hint="eastAsia" w:ascii="仿宋_GB2312" w:hAnsi="仿宋_GB2312" w:eastAsia="仿宋_GB2312" w:cs="仿宋_GB2312"/>
          <w:sz w:val="32"/>
          <w:szCs w:val="32"/>
        </w:rPr>
        <w:t>区商务局应联合区财政局制定项目评审细则，依法委托第三方服务机构对项目进行综合评审后确定拟支持项目，按规定进行公示并经集体研究决策后正式纳入项目库，公示期不少于5个工作日。</w:t>
      </w:r>
    </w:p>
    <w:p>
      <w:pPr>
        <w:pStyle w:val="21"/>
        <w:pBdr>
          <w:top w:val="none" w:color="auto" w:sz="0" w:space="1"/>
          <w:left w:val="none" w:color="auto" w:sz="0" w:space="4"/>
          <w:right w:val="none" w:color="auto" w:sz="0" w:space="4"/>
        </w:pBdr>
        <w:overflowPunct w:val="0"/>
        <w:spacing w:before="0" w:after="0" w:line="560" w:lineRule="exact"/>
        <w:rPr>
          <w:rFonts w:hint="eastAsia" w:cs="黑体"/>
          <w:bCs/>
          <w:kern w:val="0"/>
          <w:sz w:val="32"/>
          <w:szCs w:val="32"/>
        </w:rPr>
      </w:pPr>
      <w:r>
        <w:rPr>
          <w:rFonts w:hint="eastAsia" w:cs="黑体"/>
          <w:bCs/>
          <w:kern w:val="0"/>
          <w:sz w:val="32"/>
          <w:szCs w:val="32"/>
        </w:rPr>
        <w:t>第三章 项目实施与管理</w:t>
      </w:r>
    </w:p>
    <w:bookmarkEnd w:id="5"/>
    <w:bookmarkEnd w:id="6"/>
    <w:p>
      <w:pPr>
        <w:pStyle w:val="8"/>
        <w:spacing w:before="0" w:beforeAutospacing="0" w:after="0" w:afterAutospacing="0" w:line="560" w:lineRule="exact"/>
        <w:ind w:left="75" w:right="75" w:firstLine="642" w:firstLineChars="200"/>
        <w:rPr>
          <w:rFonts w:hint="eastAsia" w:ascii="仿宋_GB2312" w:hAnsi="仿宋_GB2312" w:eastAsia="仿宋_GB2312" w:cs="仿宋_GB2312"/>
          <w:color w:val="333333"/>
          <w:sz w:val="32"/>
          <w:szCs w:val="32"/>
        </w:rPr>
      </w:pPr>
      <w:r>
        <w:rPr>
          <w:rFonts w:hint="eastAsia" w:ascii="仿宋_GB2312" w:hAnsi="仿宋_GB2312" w:eastAsia="仿宋_GB2312" w:cs="仿宋_GB2312"/>
          <w:b/>
          <w:sz w:val="32"/>
          <w:szCs w:val="32"/>
        </w:rPr>
        <w:t xml:space="preserve">第十条 </w:t>
      </w:r>
      <w:r>
        <w:rPr>
          <w:rFonts w:hint="eastAsia" w:ascii="仿宋_GB2312" w:hAnsi="仿宋_GB2312" w:eastAsia="仿宋_GB2312" w:cs="仿宋_GB2312"/>
          <w:sz w:val="32"/>
          <w:szCs w:val="32"/>
        </w:rPr>
        <w:t>试点项目实行项目库管理。区商务局应建立储备项目库，健全项目入库、退出动态管理机制。</w:t>
      </w:r>
    </w:p>
    <w:p>
      <w:pPr>
        <w:pStyle w:val="8"/>
        <w:spacing w:before="0" w:beforeAutospacing="0" w:after="0" w:afterAutospacing="0" w:line="560" w:lineRule="exact"/>
        <w:ind w:left="75" w:right="75"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第十一条 </w:t>
      </w:r>
      <w:r>
        <w:rPr>
          <w:rFonts w:hint="eastAsia" w:ascii="仿宋_GB2312" w:hAnsi="仿宋_GB2312" w:eastAsia="仿宋_GB2312" w:cs="仿宋_GB2312"/>
          <w:sz w:val="32"/>
          <w:szCs w:val="32"/>
        </w:rPr>
        <w:t>项目变更与退出。</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在实施过程中因政策变化、不可抗力及其他原因导致项目投资变动20%及以上或退出的，由项目单位向区商务局提交书面申请，详细说明变动或退出的事由。区商务局审核同意后，做好入库信息调整，相关情况抄送区财政局。项目已拨付试点资金的，收回全部或部分已拨付的试点资金。</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已向省商务厅、省财政厅报备的试点项目原则上不作调整。确需调整的，若涉及调整的投入金额不超过全部项目总投入额的30%，由区人民政府审批并报省商务厅、省财政厅备案；若超过30%，应报省商务厅、省财政厅审批。</w:t>
      </w:r>
    </w:p>
    <w:p>
      <w:pPr>
        <w:pStyle w:val="8"/>
        <w:spacing w:before="0" w:beforeAutospacing="0" w:after="0" w:afterAutospacing="0" w:line="560" w:lineRule="exact"/>
        <w:ind w:left="75" w:right="75"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第十二条 </w:t>
      </w:r>
      <w:r>
        <w:rPr>
          <w:rFonts w:hint="eastAsia" w:ascii="仿宋_GB2312" w:hAnsi="仿宋_GB2312" w:eastAsia="仿宋_GB2312" w:cs="仿宋_GB2312"/>
          <w:sz w:val="32"/>
          <w:szCs w:val="32"/>
        </w:rPr>
        <w:t>有下列情形之一的，终止项目实施，并按照《财政违法行为处罚处分条例》等有关法律法规进行查处，追回已拨付的试点资金，涉及违法犯罪的，依法移交司法机关处理：</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（一）存在违法、重大安全事故、重大欺骗、重大事实隐瞒等行为的；</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（二）涉嫌以虚假材料骗取财政资金的；</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（三）擅自改变项目总体目标和主要建设内容的；</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（四）无正当理由未完成项目总体目标和建设内容的；</w:t>
      </w:r>
    </w:p>
    <w:p>
      <w:pPr>
        <w:pStyle w:val="8"/>
        <w:spacing w:before="0" w:beforeAutospacing="0" w:after="0" w:afterAutospacing="0" w:line="560" w:lineRule="exact"/>
        <w:ind w:left="75" w:right="75"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（五）验收未通过，且限期整改后仍未达到验收要求的。</w:t>
      </w:r>
    </w:p>
    <w:p>
      <w:pPr>
        <w:pStyle w:val="8"/>
        <w:spacing w:before="0" w:beforeAutospacing="0" w:after="0" w:afterAutospacing="0" w:line="560" w:lineRule="exact"/>
        <w:ind w:left="75" w:right="75"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第十三条</w:t>
      </w:r>
      <w:r>
        <w:rPr>
          <w:rFonts w:hint="eastAsia" w:ascii="仿宋_GB2312" w:hAnsi="仿宋_GB2312" w:eastAsia="仿宋_GB2312" w:cs="仿宋_GB2312"/>
          <w:sz w:val="32"/>
          <w:szCs w:val="32"/>
        </w:rPr>
        <w:t xml:space="preserve"> 区商务局应建立项目监管机制，会同第三方服务机构定期对项目开展实地调研和督导，了解项目建设进展、资金支出进度等情况，对偏离建设目标、进度落后、程序不合规等问题进行重点督导，整改不符合验收要求的，按照第十二条的规定作项目终止处理。</w:t>
      </w:r>
    </w:p>
    <w:p>
      <w:pPr>
        <w:pStyle w:val="8"/>
        <w:spacing w:before="0" w:beforeAutospacing="0" w:after="0" w:afterAutospacing="0" w:line="560" w:lineRule="exact"/>
        <w:ind w:left="74" w:right="74"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第十四条</w:t>
      </w:r>
      <w:r>
        <w:rPr>
          <w:rFonts w:hint="eastAsia" w:ascii="仿宋_GB2312" w:hAnsi="仿宋_GB2312" w:eastAsia="仿宋_GB2312" w:cs="仿宋_GB2312"/>
          <w:sz w:val="32"/>
          <w:szCs w:val="32"/>
        </w:rPr>
        <w:t xml:space="preserve"> 区商务局建立信息报送制度，每半年向省商务厅、省财政厅报送工作进展、试点目标完成情况和项目实施成效、资金安排使用等动态信息，加强项目动态管理，统计辖区内省级商务发展提质增效试点运营成果等相关数据。凡接受财政补贴的项目必须按要求提供交易和活动信息，同时依法保护项目单位信息安全。</w:t>
      </w:r>
    </w:p>
    <w:p>
      <w:pPr>
        <w:pStyle w:val="21"/>
        <w:pBdr>
          <w:top w:val="none" w:color="auto" w:sz="0" w:space="1"/>
          <w:left w:val="none" w:color="auto" w:sz="0" w:space="4"/>
          <w:right w:val="none" w:color="auto" w:sz="0" w:space="4"/>
        </w:pBdr>
        <w:overflowPunct w:val="0"/>
        <w:spacing w:before="0" w:after="0" w:line="560" w:lineRule="exact"/>
        <w:rPr>
          <w:rFonts w:hint="eastAsia" w:cs="黑体"/>
          <w:bCs/>
          <w:kern w:val="0"/>
          <w:sz w:val="32"/>
          <w:szCs w:val="32"/>
        </w:rPr>
      </w:pPr>
      <w:r>
        <w:rPr>
          <w:rFonts w:hint="eastAsia" w:cs="黑体"/>
          <w:bCs/>
          <w:kern w:val="0"/>
          <w:sz w:val="32"/>
          <w:szCs w:val="32"/>
        </w:rPr>
        <w:t>第四章 项目验收</w:t>
      </w:r>
    </w:p>
    <w:p>
      <w:pPr>
        <w:pStyle w:val="8"/>
        <w:spacing w:before="0" w:beforeAutospacing="0" w:after="0" w:afterAutospacing="0" w:line="560" w:lineRule="exact"/>
        <w:ind w:left="74" w:right="74"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第十五条 </w:t>
      </w:r>
      <w:r>
        <w:rPr>
          <w:rFonts w:hint="eastAsia" w:ascii="仿宋_GB2312" w:hAnsi="仿宋_GB2312" w:eastAsia="仿宋_GB2312" w:cs="仿宋_GB2312"/>
          <w:sz w:val="32"/>
          <w:szCs w:val="32"/>
        </w:rPr>
        <w:t>项目单位可申请项目阶段性验收，阶段性验收需提供以下材料：</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（一）项目验收申请书；</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（二）项目进度报告；</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（三）项目建设方案；</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（四）企业营业执照副本复印件并加盖公章；</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（五）项目建设台账资料；</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（六）项目财务台账资料（包含项目支出明细表，合同、发票(复印件)、内部审批单、付款凭证、记账凭证及其他相关材料）；</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（七）项目资产台账。</w:t>
      </w:r>
    </w:p>
    <w:p>
      <w:pPr>
        <w:pStyle w:val="8"/>
        <w:spacing w:before="0" w:beforeAutospacing="0" w:after="0" w:afterAutospacing="0" w:line="560" w:lineRule="exact"/>
        <w:ind w:left="74" w:right="74"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第十六条 </w:t>
      </w:r>
      <w:r>
        <w:rPr>
          <w:rFonts w:hint="eastAsia" w:ascii="仿宋_GB2312" w:hAnsi="仿宋_GB2312" w:eastAsia="仿宋_GB2312" w:cs="仿宋_GB2312"/>
          <w:sz w:val="32"/>
          <w:szCs w:val="32"/>
        </w:rPr>
        <w:t>项目单位在完成项目建设工作后，需及时向区商务局申请项目验收。项目验收需提供以下材料：</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（一）项目验收申请书；</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（二）项目进度报告；</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（三）项目建设方案；</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（四）企业营业执照副本复印件并加盖公章；</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（五）项目建设台账资料；</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（六）项目财务台账资料（包含项目支出明细表，合同、发票(复印件)、内部审批单、付款凭证、记账凭证及其他相关材料）；</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（七）项目资产台账；</w:t>
      </w:r>
    </w:p>
    <w:p>
      <w:pPr>
        <w:pStyle w:val="8"/>
        <w:spacing w:before="0" w:beforeAutospacing="0" w:after="0" w:afterAutospacing="0" w:line="560" w:lineRule="exact"/>
        <w:ind w:left="74" w:right="74"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（八）项目绩效自评报告。</w:t>
      </w:r>
    </w:p>
    <w:p>
      <w:pPr>
        <w:pStyle w:val="8"/>
        <w:spacing w:before="0" w:beforeAutospacing="0" w:after="0" w:afterAutospacing="0" w:line="560" w:lineRule="exact"/>
        <w:ind w:left="75" w:right="75"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第十七条 </w:t>
      </w:r>
      <w:r>
        <w:rPr>
          <w:rFonts w:hint="eastAsia" w:ascii="仿宋_GB2312" w:hAnsi="仿宋_GB2312" w:eastAsia="仿宋_GB2312" w:cs="仿宋_GB2312"/>
          <w:sz w:val="32"/>
          <w:szCs w:val="32"/>
        </w:rPr>
        <w:t>区商务局在收到项目单位验收申请后，应组织第三方会计师事务所对项目已发生费用进行专项审计。</w:t>
      </w:r>
    </w:p>
    <w:p>
      <w:pPr>
        <w:pStyle w:val="8"/>
        <w:spacing w:before="0" w:beforeAutospacing="0" w:after="0" w:afterAutospacing="0" w:line="560" w:lineRule="exact"/>
        <w:ind w:left="75" w:right="75" w:firstLine="64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 xml:space="preserve">第十八条 </w:t>
      </w:r>
      <w:r>
        <w:rPr>
          <w:rFonts w:hint="eastAsia" w:ascii="仿宋_GB2312" w:hAnsi="仿宋_GB2312" w:eastAsia="仿宋_GB2312" w:cs="仿宋_GB2312"/>
          <w:sz w:val="32"/>
          <w:szCs w:val="32"/>
        </w:rPr>
        <w:t>区商务局应联合财政局，聘请第三方专家组成评审小组，对项目单位提供的验收材料结合审计报告和项目现场情况进行项目验收，客观公正地给出验收结论。验收结论应通过政府门户网站公示,公示时间不少于5个工作日。</w:t>
      </w:r>
    </w:p>
    <w:p>
      <w:pPr>
        <w:widowControl/>
        <w:shd w:val="clear" w:color="auto" w:fill="FFFFFF"/>
        <w:spacing w:line="560" w:lineRule="exact"/>
        <w:ind w:firstLine="642"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b/>
          <w:sz w:val="32"/>
          <w:szCs w:val="32"/>
        </w:rPr>
        <w:t xml:space="preserve">第十九条 </w:t>
      </w:r>
      <w:r>
        <w:rPr>
          <w:rFonts w:hint="eastAsia" w:ascii="仿宋_GB2312" w:hAnsi="仿宋_GB2312" w:eastAsia="仿宋_GB2312" w:cs="仿宋_GB2312"/>
          <w:kern w:val="0"/>
          <w:sz w:val="32"/>
          <w:szCs w:val="32"/>
        </w:rPr>
        <w:t>项目验收绩效评价结果分为优秀、良、中、合格、不合格五个等级。项目建设任务全部完成，建设质量符合要求，资金使用合理合规，资产管理规范，综合评价达到对应标准的，依次评定为优秀、良、中、合格；项目建设任务未完成，或建设质量存在问题，或资金使用存在违规行为的，评价结果为不合格。</w:t>
      </w:r>
    </w:p>
    <w:p>
      <w:pPr>
        <w:widowControl/>
        <w:shd w:val="clear" w:color="auto" w:fill="FFFFFF"/>
        <w:spacing w:line="56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区商务局根据验收绩效评价结果分档确定补助资金拨付比例，具体按照《鼓楼区省级商务发展提质增效试点资金管理办法》有关规定执行。对评价结果为不合格的项目，区商务局应责令项目单位限期整改。整改完成后，重新组织开展验收绩效评价。经整改后评价结果仍为不合格的，应追回已拨付的项目资金，并按照相关规定进行处理。</w:t>
      </w:r>
    </w:p>
    <w:p>
      <w:pPr>
        <w:pStyle w:val="8"/>
        <w:spacing w:before="0" w:beforeAutospacing="0" w:after="0" w:afterAutospacing="0" w:line="560" w:lineRule="exact"/>
        <w:ind w:left="75" w:right="75" w:firstLine="640"/>
        <w:rPr>
          <w:rFonts w:hint="eastAsia" w:ascii="仿宋_GB2312" w:hAnsi="仿宋_GB2312" w:eastAsia="仿宋_GB2312" w:cs="仿宋_GB2312"/>
          <w:color w:val="333333"/>
          <w:sz w:val="32"/>
          <w:szCs w:val="32"/>
        </w:rPr>
      </w:pPr>
      <w:r>
        <w:rPr>
          <w:rFonts w:hint="eastAsia" w:ascii="仿宋_GB2312" w:hAnsi="仿宋_GB2312" w:eastAsia="仿宋_GB2312" w:cs="仿宋_GB2312"/>
          <w:b/>
          <w:sz w:val="32"/>
          <w:szCs w:val="32"/>
        </w:rPr>
        <w:t xml:space="preserve">第二十条 </w:t>
      </w:r>
      <w:r>
        <w:rPr>
          <w:rFonts w:hint="eastAsia" w:ascii="仿宋_GB2312" w:hAnsi="仿宋_GB2312" w:eastAsia="仿宋_GB2312" w:cs="仿宋_GB2312"/>
          <w:color w:val="auto"/>
          <w:sz w:val="32"/>
          <w:szCs w:val="32"/>
        </w:rPr>
        <w:t>项目单位应做好项目档案管理工作，对申报推荐、立项储备、监督检查、绩效评价、项目验收全流程资料进行收集整理，并妥善保管。</w:t>
      </w:r>
    </w:p>
    <w:p>
      <w:pPr>
        <w:pStyle w:val="21"/>
        <w:pBdr>
          <w:top w:val="none" w:color="auto" w:sz="0" w:space="1"/>
          <w:left w:val="none" w:color="auto" w:sz="0" w:space="4"/>
          <w:right w:val="none" w:color="auto" w:sz="0" w:space="4"/>
        </w:pBdr>
        <w:overflowPunct w:val="0"/>
        <w:spacing w:before="0" w:after="0" w:line="560" w:lineRule="exact"/>
        <w:rPr>
          <w:rFonts w:hint="eastAsia" w:cs="黑体"/>
          <w:bCs/>
          <w:kern w:val="0"/>
          <w:sz w:val="32"/>
          <w:szCs w:val="32"/>
        </w:rPr>
      </w:pPr>
      <w:r>
        <w:rPr>
          <w:rFonts w:hint="eastAsia" w:cs="黑体"/>
          <w:bCs/>
          <w:kern w:val="0"/>
          <w:sz w:val="32"/>
          <w:szCs w:val="32"/>
        </w:rPr>
        <w:t>第五章 违规处理</w:t>
      </w:r>
    </w:p>
    <w:p>
      <w:pPr>
        <w:pBdr>
          <w:top w:val="none" w:color="auto" w:sz="0" w:space="1"/>
          <w:left w:val="none" w:color="auto" w:sz="0" w:space="4"/>
          <w:bottom w:val="none" w:color="auto" w:sz="0" w:space="1"/>
          <w:right w:val="none" w:color="auto" w:sz="0" w:space="4"/>
        </w:pBdr>
        <w:overflowPunct w:val="0"/>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kern w:val="0"/>
          <w:sz w:val="32"/>
          <w:szCs w:val="32"/>
        </w:rPr>
        <w:t xml:space="preserve">第二十一条 </w:t>
      </w:r>
      <w:r>
        <w:rPr>
          <w:rFonts w:hint="eastAsia" w:ascii="仿宋_GB2312" w:hAnsi="仿宋_GB2312" w:eastAsia="仿宋_GB2312" w:cs="仿宋_GB2312"/>
          <w:sz w:val="32"/>
          <w:szCs w:val="32"/>
        </w:rPr>
        <w:t>项目单位有下列行为之一的，三年内不得申请任何财政资金支持项目：</w:t>
      </w:r>
    </w:p>
    <w:p>
      <w:pPr>
        <w:pBdr>
          <w:top w:val="none" w:color="auto" w:sz="0" w:space="1"/>
          <w:left w:val="none" w:color="auto" w:sz="0" w:space="4"/>
          <w:bottom w:val="none" w:color="auto" w:sz="0" w:space="1"/>
          <w:right w:val="none" w:color="auto" w:sz="0" w:space="4"/>
        </w:pBdr>
        <w:overflowPunct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（一）在申报、实施或验收过程中提供虚假材料，骗取专项支持资金的。</w:t>
      </w:r>
    </w:p>
    <w:p>
      <w:pPr>
        <w:pBdr>
          <w:top w:val="none" w:color="auto" w:sz="0" w:space="1"/>
          <w:left w:val="none" w:color="auto" w:sz="0" w:space="4"/>
          <w:bottom w:val="none" w:color="auto" w:sz="0" w:space="1"/>
          <w:right w:val="none" w:color="auto" w:sz="0" w:space="4"/>
        </w:pBdr>
        <w:overflowPunct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（二）非法挪用、侵占、冒领、截留专项支持资金的。</w:t>
      </w:r>
    </w:p>
    <w:p>
      <w:pPr>
        <w:pBdr>
          <w:top w:val="none" w:color="auto" w:sz="0" w:space="1"/>
          <w:left w:val="none" w:color="auto" w:sz="0" w:space="4"/>
          <w:bottom w:val="none" w:color="auto" w:sz="0" w:space="1"/>
          <w:right w:val="none" w:color="auto" w:sz="0" w:space="4"/>
        </w:pBdr>
        <w:overflowPunct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（三）阻挠或规避有关部门对项目的监督、检查和验收，且情节特别严重的。</w:t>
      </w:r>
    </w:p>
    <w:p>
      <w:pPr>
        <w:pBdr>
          <w:top w:val="none" w:color="auto" w:sz="0" w:space="1"/>
          <w:left w:val="none" w:color="auto" w:sz="0" w:space="4"/>
          <w:bottom w:val="none" w:color="auto" w:sz="0" w:space="1"/>
          <w:right w:val="none" w:color="auto" w:sz="0" w:space="4"/>
        </w:pBdr>
        <w:overflowPunct w:val="0"/>
        <w:spacing w:line="560" w:lineRule="exact"/>
        <w:ind w:firstLine="642" w:firstLineChars="200"/>
        <w:rPr>
          <w:rFonts w:hint="eastAsia" w:ascii="仿宋_GB2312" w:hAnsi="仿宋_GB2312" w:eastAsia="仿宋_GB2312" w:cs="仿宋_GB2312"/>
          <w:sz w:val="32"/>
          <w:szCs w:val="32"/>
        </w:rPr>
      </w:pPr>
      <w:bookmarkStart w:id="7" w:name="OLE_LINK38"/>
      <w:bookmarkStart w:id="8" w:name="OLE_LINK39"/>
      <w:r>
        <w:rPr>
          <w:rFonts w:hint="eastAsia" w:ascii="仿宋_GB2312" w:hAnsi="仿宋_GB2312" w:eastAsia="仿宋_GB2312" w:cs="仿宋_GB2312"/>
          <w:b/>
          <w:kern w:val="0"/>
          <w:sz w:val="32"/>
          <w:szCs w:val="32"/>
        </w:rPr>
        <w:t xml:space="preserve">第二十二条 </w:t>
      </w:r>
      <w:bookmarkEnd w:id="7"/>
      <w:bookmarkEnd w:id="8"/>
      <w:r>
        <w:rPr>
          <w:rFonts w:hint="eastAsia" w:ascii="仿宋_GB2312" w:hAnsi="仿宋_GB2312" w:eastAsia="仿宋_GB2312" w:cs="仿宋_GB2312"/>
          <w:sz w:val="32"/>
          <w:szCs w:val="32"/>
        </w:rPr>
        <w:t>有前款规定情形的单位法定代表人、董事、主要股东、实际控制人以及个人设立或者控股的其他单位，在申请其他财政支持项目时，适用前款规定处理。涉嫌犯罪的，依法移交司法机关处理。</w:t>
      </w:r>
    </w:p>
    <w:p>
      <w:pPr>
        <w:pStyle w:val="21"/>
        <w:pBdr>
          <w:top w:val="none" w:color="auto" w:sz="0" w:space="1"/>
          <w:left w:val="none" w:color="auto" w:sz="0" w:space="4"/>
          <w:right w:val="none" w:color="auto" w:sz="0" w:space="4"/>
        </w:pBdr>
        <w:overflowPunct w:val="0"/>
        <w:spacing w:before="0" w:after="0" w:line="560" w:lineRule="exact"/>
        <w:rPr>
          <w:rFonts w:hint="eastAsia" w:cs="黑体"/>
          <w:bCs/>
          <w:kern w:val="0"/>
          <w:sz w:val="32"/>
          <w:szCs w:val="32"/>
        </w:rPr>
      </w:pPr>
      <w:r>
        <w:rPr>
          <w:rFonts w:hint="eastAsia" w:cs="黑体"/>
          <w:bCs/>
          <w:kern w:val="0"/>
          <w:sz w:val="32"/>
          <w:szCs w:val="32"/>
        </w:rPr>
        <w:t>第六章 附 则</w:t>
      </w:r>
    </w:p>
    <w:p>
      <w:pPr>
        <w:pBdr>
          <w:top w:val="none" w:color="auto" w:sz="0" w:space="1"/>
          <w:left w:val="none" w:color="auto" w:sz="0" w:space="4"/>
          <w:bottom w:val="none" w:color="auto" w:sz="0" w:space="1"/>
          <w:right w:val="none" w:color="auto" w:sz="0" w:space="4"/>
        </w:pBdr>
        <w:overflowPunct w:val="0"/>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kern w:val="0"/>
          <w:sz w:val="32"/>
          <w:szCs w:val="32"/>
        </w:rPr>
        <w:t xml:space="preserve">第二十三条 </w:t>
      </w:r>
      <w:r>
        <w:rPr>
          <w:rFonts w:ascii="仿宋_GB2312" w:hAnsi="仿宋_GB2312" w:eastAsia="仿宋_GB2312" w:cs="仿宋_GB2312"/>
          <w:sz w:val="32"/>
          <w:szCs w:val="32"/>
        </w:rPr>
        <w:t>本办法由</w:t>
      </w:r>
      <w:r>
        <w:rPr>
          <w:rFonts w:hint="eastAsia" w:ascii="仿宋_GB2312" w:hAnsi="仿宋_GB2312" w:eastAsia="仿宋_GB2312" w:cs="仿宋_GB2312"/>
          <w:sz w:val="32"/>
          <w:szCs w:val="32"/>
        </w:rPr>
        <w:t>鼓楼区商务局、财政局负责解释。</w:t>
      </w:r>
    </w:p>
    <w:p>
      <w:pPr>
        <w:spacing w:line="560" w:lineRule="exact"/>
        <w:ind w:firstLine="642" w:firstLineChars="200"/>
        <w:rPr>
          <w:rFonts w:hint="eastAsia" w:ascii="仿宋_GB2312" w:hAnsi="仿宋_GB2312" w:eastAsia="仿宋_GB2312" w:cs="仿宋_GB2312"/>
          <w:sz w:val="32"/>
          <w:szCs w:val="32"/>
        </w:rPr>
      </w:pPr>
      <w:r>
        <w:rPr>
          <w:rFonts w:hint="eastAsia" w:ascii="仿宋_GB2312" w:hAnsi="仿宋_GB2312" w:eastAsia="仿宋_GB2312" w:cs="仿宋_GB2312"/>
          <w:b/>
          <w:kern w:val="0"/>
          <w:sz w:val="32"/>
          <w:szCs w:val="32"/>
        </w:rPr>
        <w:t xml:space="preserve">第二十四条 </w:t>
      </w:r>
      <w:r>
        <w:rPr>
          <w:rFonts w:hint="eastAsia" w:ascii="仿宋_GB2312" w:hAnsi="仿宋_GB2312" w:eastAsia="仿宋_GB2312" w:cs="仿宋_GB2312"/>
          <w:sz w:val="32"/>
          <w:szCs w:val="32"/>
          <w:shd w:val="clear" w:color="auto" w:fill="FFFFFF"/>
        </w:rPr>
        <w:t>本办法自发布之日起施行，有效期至福州市鼓楼区省级商务发展提质增效试点工作结束。本办法实施过程中，国家、省、市如有相关政策调整或者最新要求，按新政策、新要求适时调整执行。</w:t>
      </w:r>
    </w:p>
    <w:sectPr>
      <w:footerReference r:id="rId3" w:type="default"/>
      <w:pgSz w:w="11906" w:h="16838"/>
      <w:pgMar w:top="2098" w:right="1474" w:bottom="1984" w:left="1587" w:header="1587" w:footer="158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等线">
    <w:altName w:val="URW Bookman"/>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jc w:val="center"/>
      <w:rPr>
        <w:rFonts w:hint="eastAsia"/>
      </w:rPr>
    </w:pPr>
    <w:r>
      <w:rPr>
        <w:rFonts w:ascii="仿宋_GB2312" w:hAnsi="仿宋_GB2312" w:eastAsia="仿宋_GB2312" w:cs="仿宋_GB2312"/>
        <w:szCs w:val="21"/>
      </w:rPr>
      <w:fldChar w:fldCharType="begin"/>
    </w:r>
    <w:r>
      <w:rPr>
        <w:rFonts w:ascii="仿宋_GB2312" w:hAnsi="仿宋_GB2312" w:eastAsia="仿宋_GB2312" w:cs="仿宋_GB2312"/>
        <w:szCs w:val="21"/>
      </w:rPr>
      <w:instrText xml:space="preserve">PAGE</w:instrText>
    </w:r>
    <w:r>
      <w:rPr>
        <w:rFonts w:ascii="仿宋_GB2312" w:hAnsi="仿宋_GB2312" w:eastAsia="仿宋_GB2312" w:cs="仿宋_GB2312"/>
        <w:szCs w:val="21"/>
      </w:rPr>
      <w:fldChar w:fldCharType="separate"/>
    </w:r>
    <w:r>
      <w:rPr>
        <w:rFonts w:hint="eastAsia" w:ascii="仿宋_GB2312" w:hAnsi="仿宋_GB2312" w:eastAsia="仿宋_GB2312" w:cs="仿宋_GB2312"/>
        <w:szCs w:val="21"/>
      </w:rPr>
      <w:t>1</w:t>
    </w:r>
    <w:r>
      <w:rPr>
        <w:rFonts w:ascii="仿宋_GB2312" w:hAnsi="仿宋_GB2312" w:eastAsia="仿宋_GB2312" w:cs="仿宋_GB2312"/>
        <w:szCs w:val="21"/>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U2MThlOTA0NDI1M2RkNjc3ZDdiZmQzNGM0ZTU1NDgifQ=="/>
  </w:docVars>
  <w:rsids>
    <w:rsidRoot w:val="00F70328"/>
    <w:rsid w:val="000478C3"/>
    <w:rsid w:val="0007385E"/>
    <w:rsid w:val="000A69ED"/>
    <w:rsid w:val="000B66CC"/>
    <w:rsid w:val="000C3EDF"/>
    <w:rsid w:val="000F20E0"/>
    <w:rsid w:val="00105664"/>
    <w:rsid w:val="00106090"/>
    <w:rsid w:val="001707D9"/>
    <w:rsid w:val="001A4CBC"/>
    <w:rsid w:val="001D6D3D"/>
    <w:rsid w:val="0021263B"/>
    <w:rsid w:val="002211F0"/>
    <w:rsid w:val="002528D9"/>
    <w:rsid w:val="002535D7"/>
    <w:rsid w:val="00265E97"/>
    <w:rsid w:val="0027046F"/>
    <w:rsid w:val="002E694F"/>
    <w:rsid w:val="003307B5"/>
    <w:rsid w:val="00347C20"/>
    <w:rsid w:val="003760F1"/>
    <w:rsid w:val="003B0A31"/>
    <w:rsid w:val="003E374D"/>
    <w:rsid w:val="003F226D"/>
    <w:rsid w:val="00400ED4"/>
    <w:rsid w:val="00442DB3"/>
    <w:rsid w:val="00442E43"/>
    <w:rsid w:val="004932B2"/>
    <w:rsid w:val="00497897"/>
    <w:rsid w:val="004E08ED"/>
    <w:rsid w:val="004E5AB2"/>
    <w:rsid w:val="004F392C"/>
    <w:rsid w:val="005112BE"/>
    <w:rsid w:val="00525D28"/>
    <w:rsid w:val="00577173"/>
    <w:rsid w:val="005D6B05"/>
    <w:rsid w:val="005E6444"/>
    <w:rsid w:val="006017AB"/>
    <w:rsid w:val="0061029E"/>
    <w:rsid w:val="00622DDB"/>
    <w:rsid w:val="00677F96"/>
    <w:rsid w:val="006F4FD8"/>
    <w:rsid w:val="00724203"/>
    <w:rsid w:val="007273D6"/>
    <w:rsid w:val="00727556"/>
    <w:rsid w:val="00780147"/>
    <w:rsid w:val="007B1A7A"/>
    <w:rsid w:val="007F10FE"/>
    <w:rsid w:val="007F72DC"/>
    <w:rsid w:val="00834D17"/>
    <w:rsid w:val="008411BE"/>
    <w:rsid w:val="00881688"/>
    <w:rsid w:val="008B09CF"/>
    <w:rsid w:val="008B4148"/>
    <w:rsid w:val="008D2DAD"/>
    <w:rsid w:val="00922EE6"/>
    <w:rsid w:val="00994FEA"/>
    <w:rsid w:val="009B751B"/>
    <w:rsid w:val="009D1BD7"/>
    <w:rsid w:val="009F1745"/>
    <w:rsid w:val="00A16CD4"/>
    <w:rsid w:val="00A369E8"/>
    <w:rsid w:val="00A53F13"/>
    <w:rsid w:val="00A563A3"/>
    <w:rsid w:val="00A960A7"/>
    <w:rsid w:val="00B0212D"/>
    <w:rsid w:val="00BA4E64"/>
    <w:rsid w:val="00BA5FFA"/>
    <w:rsid w:val="00BB645F"/>
    <w:rsid w:val="00BC2D24"/>
    <w:rsid w:val="00C26733"/>
    <w:rsid w:val="00C44CA9"/>
    <w:rsid w:val="00C62C6D"/>
    <w:rsid w:val="00C64DBF"/>
    <w:rsid w:val="00C749B0"/>
    <w:rsid w:val="00C836C4"/>
    <w:rsid w:val="00C83E31"/>
    <w:rsid w:val="00CD33A9"/>
    <w:rsid w:val="00CE39EB"/>
    <w:rsid w:val="00D42BAA"/>
    <w:rsid w:val="00D57A95"/>
    <w:rsid w:val="00D618BD"/>
    <w:rsid w:val="00D63DC2"/>
    <w:rsid w:val="00D812B8"/>
    <w:rsid w:val="00DA7DFC"/>
    <w:rsid w:val="00DA7F4D"/>
    <w:rsid w:val="00DF24D2"/>
    <w:rsid w:val="00E06710"/>
    <w:rsid w:val="00E333A8"/>
    <w:rsid w:val="00E679BF"/>
    <w:rsid w:val="00E81A92"/>
    <w:rsid w:val="00E923FE"/>
    <w:rsid w:val="00EA7B90"/>
    <w:rsid w:val="00EB755A"/>
    <w:rsid w:val="00EC3B8D"/>
    <w:rsid w:val="00EF11F3"/>
    <w:rsid w:val="00F07D13"/>
    <w:rsid w:val="00F242A7"/>
    <w:rsid w:val="00F64D02"/>
    <w:rsid w:val="00F70328"/>
    <w:rsid w:val="00F70F3D"/>
    <w:rsid w:val="00FA5739"/>
    <w:rsid w:val="00FC71DE"/>
    <w:rsid w:val="00FD7813"/>
    <w:rsid w:val="00FE74CE"/>
    <w:rsid w:val="0F2C1D70"/>
    <w:rsid w:val="0FF711C2"/>
    <w:rsid w:val="1C683FE8"/>
    <w:rsid w:val="1EAA067B"/>
    <w:rsid w:val="215F4C18"/>
    <w:rsid w:val="23556AFA"/>
    <w:rsid w:val="2B76489D"/>
    <w:rsid w:val="36BC6D06"/>
    <w:rsid w:val="3A634318"/>
    <w:rsid w:val="409A5686"/>
    <w:rsid w:val="488606C8"/>
    <w:rsid w:val="4FE1094E"/>
    <w:rsid w:val="51C602B5"/>
    <w:rsid w:val="66B819FD"/>
    <w:rsid w:val="6BA87CB7"/>
    <w:rsid w:val="6F987667"/>
    <w:rsid w:val="71B52674"/>
    <w:rsid w:val="71E276A3"/>
    <w:rsid w:val="76C56342"/>
    <w:rsid w:val="7E465DCF"/>
    <w:rsid w:val="B79E572F"/>
    <w:rsid w:val="CBBB9301"/>
    <w:rsid w:val="DFB6CADC"/>
    <w:rsid w:val="E3F44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0"/>
    <w:pPr>
      <w:spacing w:before="120"/>
    </w:pPr>
    <w:rPr>
      <w:rFonts w:ascii="Arial" w:hAnsi="Arial" w:eastAsia="宋体" w:cs="Times New Roman"/>
      <w:sz w:val="24"/>
      <w:szCs w:val="24"/>
    </w:rPr>
  </w:style>
  <w:style w:type="paragraph" w:styleId="3">
    <w:name w:val="annotation text"/>
    <w:basedOn w:val="1"/>
    <w:link w:val="19"/>
    <w:unhideWhenUsed/>
    <w:qFormat/>
    <w:uiPriority w:val="0"/>
    <w:pPr>
      <w:jc w:val="left"/>
    </w:pPr>
  </w:style>
  <w:style w:type="paragraph" w:styleId="4">
    <w:name w:val="Body Text"/>
    <w:basedOn w:val="1"/>
    <w:next w:val="1"/>
    <w:link w:val="18"/>
    <w:qFormat/>
    <w:uiPriority w:val="0"/>
    <w:pPr>
      <w:suppressAutoHyphens/>
      <w:spacing w:after="140" w:line="276" w:lineRule="auto"/>
    </w:pPr>
    <w:rPr>
      <w:rFonts w:ascii="Calibri" w:hAnsi="Calibri" w:eastAsia="宋体" w:cs="Times New Roman"/>
      <w:szCs w:val="24"/>
    </w:rPr>
  </w:style>
  <w:style w:type="paragraph" w:styleId="5">
    <w:name w:val="Balloon Text"/>
    <w:basedOn w:val="1"/>
    <w:link w:val="17"/>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spacing w:line="240" w:lineRule="atLeast"/>
      <w:jc w:val="left"/>
    </w:pPr>
    <w:rPr>
      <w:rFonts w:ascii="仿宋_GB2312" w:hAnsi="仿宋_GB2312" w:eastAsia="仿宋_GB2312" w:cs="Times New Roman"/>
      <w:spacing w:val="-6"/>
      <w:sz w:val="18"/>
      <w:szCs w:val="18"/>
      <w:lang w:bidi="he-IL"/>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rPr>
  </w:style>
  <w:style w:type="character" w:styleId="12">
    <w:name w:val="Emphasis"/>
    <w:basedOn w:val="10"/>
    <w:qFormat/>
    <w:uiPriority w:val="20"/>
    <w:rPr>
      <w:i/>
      <w:iCs/>
    </w:rPr>
  </w:style>
  <w:style w:type="character" w:styleId="13">
    <w:name w:val="annotation reference"/>
    <w:basedOn w:val="10"/>
    <w:unhideWhenUsed/>
    <w:qFormat/>
    <w:uiPriority w:val="0"/>
    <w:rPr>
      <w:sz w:val="21"/>
      <w:szCs w:val="21"/>
    </w:rPr>
  </w:style>
  <w:style w:type="paragraph" w:styleId="14">
    <w:name w:val="List Paragraph"/>
    <w:basedOn w:val="1"/>
    <w:qFormat/>
    <w:uiPriority w:val="34"/>
    <w:pPr>
      <w:ind w:firstLine="420" w:firstLineChars="200"/>
    </w:pPr>
  </w:style>
  <w:style w:type="character" w:customStyle="1" w:styleId="15">
    <w:name w:val="页脚 字符"/>
    <w:basedOn w:val="10"/>
    <w:link w:val="6"/>
    <w:qFormat/>
    <w:uiPriority w:val="99"/>
    <w:rPr>
      <w:rFonts w:ascii="仿宋_GB2312" w:hAnsi="仿宋_GB2312" w:eastAsia="仿宋_GB2312" w:cs="Times New Roman"/>
      <w:spacing w:val="-6"/>
      <w:sz w:val="18"/>
      <w:szCs w:val="18"/>
      <w:lang w:bidi="he-IL"/>
    </w:rPr>
  </w:style>
  <w:style w:type="character" w:customStyle="1" w:styleId="16">
    <w:name w:val="页眉 字符"/>
    <w:basedOn w:val="10"/>
    <w:link w:val="7"/>
    <w:qFormat/>
    <w:uiPriority w:val="99"/>
    <w:rPr>
      <w:sz w:val="18"/>
      <w:szCs w:val="18"/>
    </w:rPr>
  </w:style>
  <w:style w:type="character" w:customStyle="1" w:styleId="17">
    <w:name w:val="批注框文本 字符"/>
    <w:basedOn w:val="10"/>
    <w:link w:val="5"/>
    <w:semiHidden/>
    <w:qFormat/>
    <w:uiPriority w:val="99"/>
    <w:rPr>
      <w:kern w:val="2"/>
      <w:sz w:val="18"/>
      <w:szCs w:val="18"/>
    </w:rPr>
  </w:style>
  <w:style w:type="character" w:customStyle="1" w:styleId="18">
    <w:name w:val="正文文本 字符"/>
    <w:basedOn w:val="10"/>
    <w:link w:val="4"/>
    <w:qFormat/>
    <w:uiPriority w:val="0"/>
    <w:rPr>
      <w:rFonts w:ascii="Calibri" w:hAnsi="Calibri" w:eastAsia="宋体" w:cs="Times New Roman"/>
      <w:kern w:val="2"/>
      <w:sz w:val="21"/>
      <w:szCs w:val="24"/>
    </w:rPr>
  </w:style>
  <w:style w:type="character" w:customStyle="1" w:styleId="19">
    <w:name w:val="批注文字 字符"/>
    <w:link w:val="3"/>
    <w:qFormat/>
    <w:uiPriority w:val="0"/>
    <w:rPr>
      <w:kern w:val="2"/>
      <w:sz w:val="21"/>
      <w:szCs w:val="22"/>
    </w:rPr>
  </w:style>
  <w:style w:type="paragraph" w:customStyle="1" w:styleId="20">
    <w:name w:val="标题1"/>
    <w:basedOn w:val="1"/>
    <w:qFormat/>
    <w:uiPriority w:val="0"/>
    <w:pPr>
      <w:spacing w:before="400" w:after="400" w:line="720" w:lineRule="atLeast"/>
      <w:jc w:val="center"/>
    </w:pPr>
    <w:rPr>
      <w:rFonts w:ascii="宋体" w:eastAsia="宋体"/>
      <w:b/>
      <w:bCs/>
      <w:sz w:val="44"/>
      <w:szCs w:val="44"/>
    </w:rPr>
  </w:style>
  <w:style w:type="paragraph" w:customStyle="1" w:styleId="21">
    <w:name w:val="chapter"/>
    <w:basedOn w:val="1"/>
    <w:qFormat/>
    <w:uiPriority w:val="0"/>
    <w:pPr>
      <w:spacing w:before="240" w:after="120"/>
      <w:jc w:val="center"/>
    </w:pPr>
    <w:rPr>
      <w:rFonts w:ascii="黑体" w:hAnsi="黑体" w:eastAsia="黑体"/>
    </w:rPr>
  </w:style>
  <w:style w:type="paragraph" w:customStyle="1" w:styleId="22">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3">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1930</Words>
  <Characters>1930</Characters>
  <Lines>96</Lines>
  <Paragraphs>87</Paragraphs>
  <TotalTime>0</TotalTime>
  <ScaleCrop>false</ScaleCrop>
  <LinksUpToDate>false</LinksUpToDate>
  <CharactersWithSpaces>3773</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2026-08-20T03:33:00Z</dcterms:created>
  <dc:creator>guolei</dc:creator>
  <cp:lastModifiedBy>leaffly</cp:lastModifiedBy>
  <dcterms:modified xsi:type="dcterms:W3CDTF">2026-09-11T09:55:31Z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2052-11.8.2.10552</vt:lpwstr>
  </property>
  <property fmtid="{D5CDD505-2E9C-101B-9397-08002B2CF9AE}" pid="3" name="ICV">
    <vt:lpwstr>12593E9B37544FD4BFB33EE07CFD63DD_13</vt:lpwstr>
  </property>
  <property fmtid="{D5CDD505-2E9C-101B-9397-08002B2CF9AE}" pid="4" name="KSOTemplateDocerSaveRecord">
    <vt:lpwstr>eyJoZGlkIjoiOTc3M2Y5NzIzMDFlZjAyY2Q4Njk5ODkyYjFjNzBiNTQiLCJ1c2VySWQiOiI1NzY2NzI1NzYifQ==</vt:lpwstr>
  </property>
</Properties>
</file>