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spacing w:before="0" w:beforeAutospacing="0" w:after="0" w:afterAutospacing="0" w:line="560" w:lineRule="exact"/>
        <w:ind w:left="75" w:right="75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  <w:bookmarkStart w:id="8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鼓楼区省级商务发展提质增效</w:t>
      </w:r>
    </w:p>
    <w:p>
      <w:pPr>
        <w:pStyle w:val="10"/>
        <w:spacing w:before="0" w:beforeAutospacing="0" w:after="0" w:afterAutospacing="0" w:line="560" w:lineRule="exact"/>
        <w:ind w:left="75" w:right="75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试点资金管理办法</w:t>
      </w:r>
    </w:p>
    <w:bookmarkEnd w:id="8"/>
    <w:p>
      <w:pPr>
        <w:pStyle w:val="10"/>
        <w:spacing w:before="0" w:beforeAutospacing="0" w:after="0" w:afterAutospacing="0" w:line="560" w:lineRule="exact"/>
        <w:ind w:left="75" w:right="75"/>
        <w:jc w:val="center"/>
        <w:rPr>
          <w:rFonts w:hint="eastAsia" w:ascii="楷体" w:hAnsi="楷体" w:eastAsia="楷体" w:cs="楷体"/>
          <w:b w:val="0"/>
          <w:bCs/>
          <w:color w:val="auto"/>
          <w:sz w:val="32"/>
          <w:szCs w:val="32"/>
        </w:rPr>
      </w:pP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eastAsia="zh-CN"/>
        </w:rPr>
        <w:t>征求意见稿</w:t>
      </w: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</w:rPr>
        <w:t>）</w:t>
      </w:r>
    </w:p>
    <w:p>
      <w:pPr>
        <w:pStyle w:val="22"/>
        <w:shd w:val="clear" w:color="auto" w:fill="FFFFFF"/>
        <w:spacing w:before="0" w:after="0" w:line="560" w:lineRule="exact"/>
        <w:rPr>
          <w:rFonts w:hint="eastAsia" w:cs="黑体"/>
          <w:color w:val="auto"/>
          <w:kern w:val="0"/>
          <w:sz w:val="32"/>
          <w:szCs w:val="32"/>
        </w:rPr>
      </w:pPr>
    </w:p>
    <w:p>
      <w:pPr>
        <w:pStyle w:val="22"/>
        <w:shd w:val="clear" w:color="auto" w:fill="FFFFFF"/>
        <w:spacing w:before="0" w:after="0" w:line="560" w:lineRule="exact"/>
        <w:rPr>
          <w:rFonts w:hint="eastAsia" w:cs="黑体"/>
          <w:color w:val="auto"/>
          <w:kern w:val="0"/>
          <w:sz w:val="32"/>
          <w:szCs w:val="32"/>
        </w:rPr>
      </w:pPr>
      <w:r>
        <w:rPr>
          <w:rFonts w:hint="eastAsia" w:cs="黑体"/>
          <w:color w:val="auto"/>
          <w:kern w:val="0"/>
          <w:sz w:val="32"/>
          <w:szCs w:val="32"/>
        </w:rPr>
        <w:t>第一章 总 则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32"/>
          <w:szCs w:val="32"/>
        </w:rPr>
        <w:t xml:space="preserve">第一条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为规范福州市鼓楼区省级商务发展提质增效试点资金管理，充分发挥财政资金的引导作用，根据《福建省商务厅 福建省财政厅关于开展省级商务发展提质增效试点工作的通知》（闽商务〔2025〕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217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号）等文件精神，结合《鼓楼区省级商务发展提质增效试点实施方案》及工作实际，制定本办法。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第二条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本办法所称鼓楼区省级商务发展提质增效试点建设试点资金（以下简称“试点资金”），是指省级财政支持鼓楼区</w:t>
      </w:r>
      <w:bookmarkStart w:id="0" w:name="OLE_LINK2"/>
      <w:bookmarkStart w:id="1" w:name="OLE_LINK1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省级商务发展提质增效试点建设</w:t>
      </w:r>
      <w:bookmarkEnd w:id="0"/>
      <w:bookmarkEnd w:id="1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的试点资金，以及福州市、鼓楼区两级财政为项目建设提供的配套资金。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第三条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试点资金遵循公开公平公正、聚焦重点、示范引导、讲求绩效的原则，集中支持全区省级商务发展提质增效试点建设，向重点项目、示范项目、标杆项目倾斜，避免资金过度集中或过度分散。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 xml:space="preserve">第四条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试点资金由区商务局联合财政局共同管理，资金分配和使用情况及时向社会公开，接受有关部门和社会监督。</w:t>
      </w:r>
    </w:p>
    <w:p>
      <w:pPr>
        <w:pStyle w:val="22"/>
        <w:spacing w:before="0" w:after="0" w:line="560" w:lineRule="exact"/>
        <w:ind w:firstLine="640" w:firstLineChars="200"/>
        <w:rPr>
          <w:rFonts w:hint="eastAsia" w:cs="黑体"/>
          <w:color w:val="auto"/>
          <w:kern w:val="0"/>
          <w:sz w:val="32"/>
          <w:szCs w:val="32"/>
        </w:rPr>
      </w:pPr>
      <w:r>
        <w:rPr>
          <w:rFonts w:hint="eastAsia" w:cs="黑体"/>
          <w:color w:val="auto"/>
          <w:kern w:val="0"/>
          <w:sz w:val="32"/>
          <w:szCs w:val="32"/>
        </w:rPr>
        <w:t>第二章 支持方向、方式及标准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 xml:space="preserve">第五条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试点资金支持方向如下：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（一）内贸方向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商务领域服务消费：支持围绕当地特色，联动文艺演出、精彩赛事、文化项目、特色非遗、中医养生、历史传承等资源，打造一批影响力广、社交属性强、业态新颖的综合性消费场景，推动形成商旅文体健融合发展的消费集聚区；支持优质消费资源与知名IP跨界联名，打造服务消费地方特色品牌；支持提升公共服务配套水平，加强数字化转型升级，逐步优化商贸服务业消费环境；支持结合自身产业优势，扶持培育与地方发展契合度高、行业影响力强的知名展会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县域物流网络构建：支持县域邮政、快递企业、冷链物流企业，建设改造县级物流配送中心、乡镇快递物流站点（村级站点不在支持范围内）和冷链物流网点，支持购买改造仓储、分拣、包装等设施设备（不含物流配送信息管理系统开发）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3.数商兴农基地建设：支持完善基地设备设施；培育县域农产品直播电商基地、短视频营销中心；组织开展农产品及其他特色产品直播带货、短视频推广等活动，提高县域特色农产品的品牌知名度和市场占有率。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4.内贸电商：积极发展品质电商，支持培育一批特色电商产业园；支持培育一批特色电商平台（企业）；支持企业通过电子商务扩大福品网络销售；支持发展“人工智能+”消费提质相关电商类项目。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5.商贸流通体系建设：支持推进步行街改造提升，商圈、商业综合体、街区智慧化改造，推进一刻钟便民生活圈建设；支持特色二手商品及再生资源流通体系（平台）建设；支持开展福品宣传推广，健全福品推广体系，促进老字号创新发展；支持欠发达地区推进商场、超市、农贸市场、集贸市场、仓储、冷链等项目建设和改造提升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6.鼓励创新汽车消费：支持汽车城、汽车综合体、汽车贸易专业市场、汽车贸易走廊等的建设和优化提升；支持汽车流通企业规模化、创新性发展，建设线上线下融合的新车、二手车销售服务体系，打造数字化消费体验场景；支持第三方二手车信息查询平台建设运营，提升二手车流通服务能力；支持各地推动汽车改装、汽车租赁、汽车赛事、房车露营、传统经典车等发展，因地制宜打造汽车与旅游、文化、体育等跨界融合消费创新项目，促进汽车由交通工具向生活空间转变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7.建设生活必需品流通保供体系：聚焦生活必需品重点品种，建设改造流通保供重大设施，提升农产品批发市场、商贸流通、电商等企业流通保供能力，增强储存、加工、分拣等功能；提高骨干仓储加工配送能力和效率，布局一批区域应急保供中心仓；支持完善生活必需品储备调控体系，加强肉、菜、小包装和应急食品等储备建设；支持城乡农贸市场建设改造，推动集农产品交易、餐饮、零售、文旅等多业态为一体的县域商贸中心项目建设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8.培育壮大商贸主体：支持提升商贸主体发展水平，加大力度引育供应链创新、消费科技、数字服务、平台经济等新业态、新模式；支持知名商贸品牌引育；支持商贸流通企业创新连锁经营、即时零售等商业模式，支持提升信息化、数字化水平；支持生产企业实现产销分离，推动企业提质增效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9.支持家政服务主体共同推动服务标准化建设：加强集聚、联动发展，引入数字化管理手段，搭建公共服务平台，优化服务供给质量与效率，更好满足居民多样化生活需求。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10.提升成品油流通数字化监管水平：推进成品油流通大数据管理体系建设，加快构建涵盖批发、仓储、零售等环节的全链条、可追溯动态监管体系，提升成品油流通领域数字化监管效能和服务水平。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（二）外经贸方向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搭建重点外贸载体：支持园区型、平台型、链主型重点外贸载体，发挥数字信息化优势、产业资源集聚优势和创新服务潜力，提升我省外贸发展质效；支持培育外贸综合服务（含跨境电商综合服务）企业或平台；支持建设快件通关平台；支持打造跨境电商公共服务中心、保税仓、“家门口”陆地港功能平台，提升外贸企业出口服务能力；支持二手车出口基地企业与“一带一路”、RCEP等重点区域共建营销网络与售后服务体系，支持培育一批二手车出口龙头企业和集散中心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发展海外仓和物流：支持海外仓与外贸企业深度融合、协同发展，通过“仓储+展厅”“仓储+营销”等模式，推动福建产品及品牌出海；支持物流企业优化运输服务保障，加强与优质外贸企业和跨境电商合作，支持在我省设立集货仓、中转仓、物流集散中心、福建跨境物流综合服务体系，降低物流费用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3.建设外贸品牌：支持培育“福建省重点培育和发展的国际知名品牌”和跨境电商重点品牌，加强品牌宣传力度，提升福建外贸品牌公信力与国际知名度。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4.深化工贸、科贸合作：支持单项冠军、科技型中小企业、专精特新“小巨人”、高新技术企业等高科技企业拓展外贸业务、开拓国际市场，支持外贸主体培育机构开展主体培育工作；支持重点外贸企业提升以外贸为目的的生产线建设、生产设备、智能系统采购、控制系统升级改造、新产品或新系统研发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5.扩大侨商集采：支持建设侨商集采中心，发挥在外闽籍华侨资源优势，对接海外福建商会和产业园区，培育侨商集采“白名单”企业，开展“侨商对接会”“海外推介会”等活动，搭建供采对接平台、闽品展销中心等，扩大海外闽企省内采购规模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6.建设海外营销体系：支持有实力的外贸企业建立国际营销网络，建设布局一批境外展示中心、分拨中心、批发市场、零售网点、售后维修网点等，提升福建外贸企业海外开展品牌宣传、展示销售、售后服务方面的能力，推动福品销全球；鼓励组展机构在境外独立办展，加大自办展培育力度，组织我省外贸企业组团出境参展拓市场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7.推进市场采购贸易：支持有条件的地市开展市场采购业务，推行市场采购全国通关一体化，推进市场采购组货人制度，拓展市场采购集聚区，推动市场采购软硬件升级（负面清单除外）和合规化建设，支持“市场采购+跨境电商”融合发展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8.跨境电商赋能产业带：支持建设产业带展示选品中心，培育“跨境电商+产业带”发展新模式；支持建设重点跨境电商产业园，汇聚优势产业企业、商会协会和金融、科研等产业上下游资源，配备物流中心等公共配套设施，为入驻企业提供一站式服务；支持企业开展跨境直播、建设独立站、引进直播服务机构等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9.创新发展服务贸易：支持建设服务贸易国际合作园区和数字、文化、技术、中医药、语言、人力资源、知识产权等服务出口基地，打造服务贸易综合改革开放平台和高质量发展高地；支持创新提升服务贸易和数字服务贸易，推进服务贸易向智能驱动的新型服务方式演进；支持服务贸易企业提升贸易数字化水平，推动拓展服务贸易数字化、智能化应用场景；支持扩大国内急需的生产性服务进口，推动医疗健康、文体娱乐等优质生活性服务进口，推动生活性服务业品质化发展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10.加大力度引进外资：支持有关地区实施服务业扩大开放综合试点的重要投资项目；支持加大引资稳资力度，在境内外举办外商投资促进活动；支持培育企业开展境外返程投资、引进境外战略投资；支持各地培育建设国家外资标志性项目、重点外资项目，以及全省“双百”外资项目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11.优化口岸营商环境：支持拓宽物流通道、完善物流基础设施，完善口岸软硬件设施，扩展海陆空铁公多式联运，建设集货仓、中转仓等；支持口岸部门开展智慧口岸建设，支持口岸部门拓展跨境贸易便利化。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12.推动对外投资与出口联动发展：支持企业开展全球化经营布局，通过对外投资建设海外生产基地、营销网络，拓展海外市场，提升综合实力和品牌影响力；支持企业以合作区为平台，有序开展中间品生产和贸易；支持企业开展设计咨询、投建营一体化等对外承包工程合作，带动国内装备、技术、标准走出去。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第六条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试点资金不得用于以下支出：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已获得中央外经贸提质增效示范、县域商业体系建设、现代商贸流通体系试点城市建设、消费新业态新模式新场景试点工作等资金支持的项目；已获得中央专项债及省级地方债支持的项目；已获得省级乡村振兴、县域产业发展资金支持的项目。对于某个项目同时向多个部门申请财政资金补助的，允许就高不重复，由项目实施主体自主选择一方领取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（二）平衡本级财政预算及偿还债务；支付税款、罚款、捐款、赞助、投资等支出。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（三）人员经费，包括发放人员工资、奖金、劳务费、津补贴等。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（四）工作经费，包括项目评审费用、审计费用、绩效评价费用、人员差旅费等。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五）新建扩建政府性楼堂馆所等明令禁止的相关项目建设。所有项目涉及的土木建筑工程支出（可以支持涉及政府宏观调控、保供稳价、服务民生项目的建设，如农产品批发市场的交易棚、路面平整、仓储设施，冷库新建或改扩建的钢结构、库体保温、地面硬化等建设改造）；一般性装修支出；房产、土地的租金支出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（六）党政机关主办、承办或承担部分活动费用的展会、节庆、论坛活动。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（七）禁止性补贴，包括与进出口实绩直接挂钩的、平台购买流量等涉及购买数据的补贴、税收返还等。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（八）企业内部管理相关投资和支出，如办公楼、员工宿舍、办公物品、人员工资等；企业自建数据平台的研发及人员投入等支出；先购买知识产权、再以知识产权对外投资的支出。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（九）发放消费券、优惠补贴等投入。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（十）实施主体将项目授权、转包给其他单位实施。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（十一）与重点项目建设内容无关的，或非必要、超规格、多配置的支出。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（十二）被相关部门列入严重失信主体名单的企业，或拖欠应缴还财政资金的企业。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（十三）涉及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地方财政补贴负面清单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事项和其他违反相关规定的支出。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</w:pPr>
      <w:bookmarkStart w:id="2" w:name="OLE_LINK7"/>
      <w:bookmarkStart w:id="3" w:name="OLE_LINK8"/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第七条 支持方式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符合支持方向的试点项目，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单个项目总投入原则上不低于500万元，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采取先建后补的方式予以支持。试点资金对试点项目在试点期间（2026—2027年度）发生的有效投入额给予补助。有效投入额对应的经济行为、付款和发票开具时间均应发生在2026—2027年度期间，符合条件的项目尾款可放宽至2028年度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有效投入额，是指试点项目在试点期间实际发生的、符合本办法支持方向并剔除负面清单事项后的投入金额。</w:t>
      </w:r>
      <w:bookmarkEnd w:id="2"/>
      <w:bookmarkEnd w:id="3"/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第八条 支持标准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省级试点资金对试点项目的补助比例不超过所有项目总投入的50%，对列入试点的项目在试点期间发生的有效投入额进行补助。具体标准如下：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（一）对于公共服务性项目，省级试点资金支持占比原则上不超过有效投入额的50%，单个项目支持金额原则上不超过1000万元。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（二）对于非公共服务性项目，省级试点资金支持占比原则上不超过有效投入额的50%，单家企业支持金额原则上不超过800万元。</w:t>
      </w:r>
    </w:p>
    <w:p>
      <w:pPr>
        <w:numPr>
          <w:ilvl w:val="0"/>
          <w:numId w:val="1"/>
        </w:numPr>
        <w:spacing w:line="560" w:lineRule="exact"/>
        <w:ind w:firstLine="640" w:firstLineChars="200"/>
        <w:jc w:val="center"/>
        <w:rPr>
          <w:rFonts w:hint="eastAsia" w:ascii="黑体" w:hAnsi="黑体" w:eastAsia="黑体" w:cs="仿宋_GB2312"/>
          <w:color w:val="auto"/>
          <w:kern w:val="0"/>
          <w:sz w:val="32"/>
          <w:szCs w:val="32"/>
        </w:rPr>
      </w:pPr>
      <w:bookmarkStart w:id="4" w:name="OLE_LINK32"/>
      <w:bookmarkStart w:id="5" w:name="OLE_LINK33"/>
      <w:r>
        <w:rPr>
          <w:rFonts w:hint="eastAsia" w:ascii="黑体" w:hAnsi="黑体" w:eastAsia="黑体" w:cs="仿宋_GB2312"/>
          <w:color w:val="auto"/>
          <w:kern w:val="0"/>
          <w:sz w:val="32"/>
          <w:szCs w:val="32"/>
        </w:rPr>
        <w:t>资金核定与拨付</w:t>
      </w:r>
    </w:p>
    <w:p>
      <w:pPr>
        <w:numPr>
          <w:ilvl w:val="255"/>
          <w:numId w:val="0"/>
        </w:num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第九条</w:t>
      </w:r>
      <w:bookmarkEnd w:id="4"/>
      <w:bookmarkEnd w:id="5"/>
      <w:bookmarkStart w:id="6" w:name="OLE_LINK3"/>
      <w:bookmarkStart w:id="7" w:name="OLE_LINK4"/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区商务局根据项目遴选结果,按规定提出项目支持计划,在统筹当年资金预算的基础上提出试点资金安排方案，下达预算指标和绩效目标。</w:t>
      </w:r>
      <w:bookmarkEnd w:id="6"/>
      <w:bookmarkEnd w:id="7"/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 xml:space="preserve">第十条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区商务局根据项目单位项目实施进度，及时预拨试点资金。专项资金拨付实行“阶段性拨付+清算”模式。阶段性拨付额度原则上不得超过阶段性验收核定有效投资额的50%，累计拨付不得超过项目拟补助资金的80%;剩余20%资金待项目通过验收后，根据实际应补助金额进行清算，多退少补。资金拨付之前，应通过政府门户网站公示,公示时间不少于5个工作日。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 xml:space="preserve">第十一条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区商务局和项目单位应对项目建设资金进行专账核算，确保资金支付程序规范、手续齐备、票账物相符。项目单位获得试点资金后，按照国家财务、会计制度有关规定进行账务处理，严格规范使用资金，自觉接受商务、财政、审计等部门的监督检查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区商务局全程跟踪资金使用与项目进展，定期组织开展现场核查，提高试点资金使用效率。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第十二条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区商务局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适时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组织开展中期绩效评估和验收绩效评价，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并组织第三方审计单位对项目资金开展专项审计，结合绩效评价等级分档确定最终实际支持金额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：评价结果为优秀，全额拨付应补助资金；评价结果为良，按90%拨付应补助资金；评价结果为中，按80%拨付应补助资金；评价结果为合格，按70%拨付应补助资金；评价结果为不合格，不得拨付补助资金。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实际拨付时需扣除前期已预拨资金，多退少补。</w:t>
      </w:r>
    </w:p>
    <w:p>
      <w:pPr>
        <w:pStyle w:val="22"/>
        <w:widowControl/>
        <w:spacing w:before="0" w:after="0" w:line="560" w:lineRule="exact"/>
        <w:ind w:firstLine="640" w:firstLineChars="200"/>
        <w:rPr>
          <w:rFonts w:hint="eastAsia" w:cs="黑体"/>
          <w:color w:val="auto"/>
          <w:kern w:val="0"/>
          <w:sz w:val="32"/>
          <w:szCs w:val="32"/>
        </w:rPr>
      </w:pPr>
      <w:r>
        <w:rPr>
          <w:rFonts w:hint="eastAsia" w:cs="黑体"/>
          <w:color w:val="auto"/>
          <w:kern w:val="0"/>
          <w:sz w:val="32"/>
          <w:szCs w:val="32"/>
        </w:rPr>
        <w:t>第四章 监督检查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第十三条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区商务局、财政局和项目单位及其工作人员在试点资金项目审核、资金分配、项目执行等工作中,应严格遵守法律法规及财政纪律,如存在违反规定分配或使用试点资金以及滥用职权、玩忽职守、徇私舞弊等违法违纪行为以及造成隐形债务的,将收回已安排的试点资金,并按照有关法律法规以及国家有关规定追究相应责任;涉嫌犯罪的,移送司法机关处理。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第十四条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试点资金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使用严格执行国家和省市有关政策规定，接受审计、监察机关的检查、监督。对截留、挪用或骗取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试点资金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等违法行为，按照有关法律法规进行查处，并按规定追回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试点资金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。构成犯罪的，依法移交司法机关处理。</w:t>
      </w:r>
    </w:p>
    <w:p>
      <w:pPr>
        <w:pStyle w:val="22"/>
        <w:widowControl/>
        <w:spacing w:before="0" w:after="0" w:line="560" w:lineRule="exact"/>
        <w:rPr>
          <w:rFonts w:hint="eastAsia" w:cs="黑体"/>
          <w:color w:val="auto"/>
          <w:kern w:val="0"/>
          <w:sz w:val="32"/>
          <w:szCs w:val="32"/>
        </w:rPr>
      </w:pPr>
      <w:r>
        <w:rPr>
          <w:rFonts w:hint="eastAsia" w:cs="黑体"/>
          <w:color w:val="auto"/>
          <w:kern w:val="0"/>
          <w:sz w:val="32"/>
          <w:szCs w:val="32"/>
        </w:rPr>
        <w:t>第五章 附 则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ascii="仿宋_GB2312" w:hAnsi="仿宋_GB2312" w:eastAsia="仿宋_GB2312" w:cs="仿宋_GB2312"/>
          <w:b/>
          <w:color w:val="auto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十五</w:t>
      </w:r>
      <w:r>
        <w:rPr>
          <w:rFonts w:ascii="仿宋_GB2312" w:hAnsi="仿宋_GB2312" w:eastAsia="仿宋_GB2312" w:cs="仿宋_GB2312"/>
          <w:b/>
          <w:color w:val="auto"/>
          <w:sz w:val="32"/>
          <w:szCs w:val="32"/>
        </w:rPr>
        <w:t>条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 xml:space="preserve"> 本办法由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鼓楼区商务局、财政局负责解释。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ascii="仿宋_GB2312" w:hAnsi="仿宋_GB2312" w:eastAsia="仿宋_GB2312" w:cs="仿宋_GB2312"/>
          <w:b/>
          <w:color w:val="auto"/>
          <w:sz w:val="32"/>
          <w:szCs w:val="32"/>
        </w:rPr>
        <w:t>第十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六</w:t>
      </w:r>
      <w:r>
        <w:rPr>
          <w:rFonts w:ascii="仿宋_GB2312" w:hAnsi="仿宋_GB2312" w:eastAsia="仿宋_GB2312" w:cs="仿宋_GB2312"/>
          <w:b/>
          <w:color w:val="auto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本办法自发布之日起施行，有效期至福州市鼓楼区省级商务发展提质增效试点工作结束。本办法实施过程中，国家、省、市如有相关政策调整或者最新要求，按新政策、新要求适时调整执行。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7" w:header="1587" w:footer="158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URW Book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URW Bookman">
    <w:panose1 w:val="00000400000000000000"/>
    <w:charset w:val="00"/>
    <w:family w:val="auto"/>
    <w:pitch w:val="default"/>
    <w:sig w:usb0="00000287" w:usb1="00000800" w:usb2="00000000" w:usb3="00000000" w:csb0="600000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360" w:lineRule="auto"/>
      <w:jc w:val="center"/>
      <w:rPr>
        <w:rFonts w:hint="eastAsia"/>
      </w:rPr>
    </w:pPr>
    <w:r>
      <w:rPr>
        <w:rFonts w:ascii="仿宋_GB2312" w:hAnsi="仿宋_GB2312" w:eastAsia="仿宋_GB2312" w:cs="仿宋_GB2312"/>
        <w:szCs w:val="21"/>
      </w:rPr>
      <w:fldChar w:fldCharType="begin"/>
    </w:r>
    <w:r>
      <w:rPr>
        <w:rFonts w:ascii="仿宋_GB2312" w:hAnsi="仿宋_GB2312" w:eastAsia="仿宋_GB2312" w:cs="仿宋_GB2312"/>
        <w:szCs w:val="21"/>
      </w:rPr>
      <w:instrText xml:space="preserve">PAGE</w:instrText>
    </w:r>
    <w:r>
      <w:rPr>
        <w:rFonts w:ascii="仿宋_GB2312" w:hAnsi="仿宋_GB2312" w:eastAsia="仿宋_GB2312" w:cs="仿宋_GB2312"/>
        <w:szCs w:val="21"/>
      </w:rPr>
      <w:fldChar w:fldCharType="separate"/>
    </w:r>
    <w:r>
      <w:rPr>
        <w:rFonts w:hint="eastAsia" w:ascii="仿宋_GB2312" w:hAnsi="仿宋_GB2312" w:eastAsia="仿宋_GB2312" w:cs="仿宋_GB2312"/>
        <w:szCs w:val="21"/>
      </w:rPr>
      <w:t>1</w:t>
    </w:r>
    <w:r>
      <w:rPr>
        <w:rFonts w:ascii="仿宋_GB2312" w:hAnsi="仿宋_GB2312" w:eastAsia="仿宋_GB2312" w:cs="仿宋_GB2312"/>
        <w:szCs w:val="21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CB3B1E"/>
    <w:multiLevelType w:val="singleLevel"/>
    <w:tmpl w:val="0CCB3B1E"/>
    <w:lvl w:ilvl="0" w:tentative="0">
      <w:start w:val="3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U2MThlOTA0NDI1M2RkNjc3ZDdiZmQzNGM0ZTU1NDgifQ=="/>
  </w:docVars>
  <w:rsids>
    <w:rsidRoot w:val="00C53642"/>
    <w:rsid w:val="000A01BB"/>
    <w:rsid w:val="000D32ED"/>
    <w:rsid w:val="000E3F3E"/>
    <w:rsid w:val="000F19DF"/>
    <w:rsid w:val="00120D40"/>
    <w:rsid w:val="001619D6"/>
    <w:rsid w:val="001B17FC"/>
    <w:rsid w:val="001D4114"/>
    <w:rsid w:val="001E0299"/>
    <w:rsid w:val="00273AF6"/>
    <w:rsid w:val="00282731"/>
    <w:rsid w:val="002B4987"/>
    <w:rsid w:val="00306765"/>
    <w:rsid w:val="0032122E"/>
    <w:rsid w:val="0038503E"/>
    <w:rsid w:val="003B0A31"/>
    <w:rsid w:val="003F39EB"/>
    <w:rsid w:val="00404E76"/>
    <w:rsid w:val="00412CAD"/>
    <w:rsid w:val="00480484"/>
    <w:rsid w:val="004A2B33"/>
    <w:rsid w:val="004E4BDF"/>
    <w:rsid w:val="004E51D1"/>
    <w:rsid w:val="00500EF7"/>
    <w:rsid w:val="00517C2D"/>
    <w:rsid w:val="00525593"/>
    <w:rsid w:val="00616FE1"/>
    <w:rsid w:val="006236CC"/>
    <w:rsid w:val="00682869"/>
    <w:rsid w:val="006B7633"/>
    <w:rsid w:val="006D4DB7"/>
    <w:rsid w:val="006E27C0"/>
    <w:rsid w:val="00737FAD"/>
    <w:rsid w:val="00777081"/>
    <w:rsid w:val="007C6F7A"/>
    <w:rsid w:val="007D30AC"/>
    <w:rsid w:val="008063BE"/>
    <w:rsid w:val="008262B1"/>
    <w:rsid w:val="00832EA0"/>
    <w:rsid w:val="008636FE"/>
    <w:rsid w:val="00881EA7"/>
    <w:rsid w:val="008C1C1C"/>
    <w:rsid w:val="00902009"/>
    <w:rsid w:val="0090575C"/>
    <w:rsid w:val="00905D51"/>
    <w:rsid w:val="009145B6"/>
    <w:rsid w:val="00920958"/>
    <w:rsid w:val="009500DF"/>
    <w:rsid w:val="00956FC9"/>
    <w:rsid w:val="00967823"/>
    <w:rsid w:val="009A4E52"/>
    <w:rsid w:val="009C0B69"/>
    <w:rsid w:val="009F2E67"/>
    <w:rsid w:val="00A24D5B"/>
    <w:rsid w:val="00A464CC"/>
    <w:rsid w:val="00A610B7"/>
    <w:rsid w:val="00A63159"/>
    <w:rsid w:val="00A8381D"/>
    <w:rsid w:val="00AC5257"/>
    <w:rsid w:val="00AD6266"/>
    <w:rsid w:val="00AE48E6"/>
    <w:rsid w:val="00BD3751"/>
    <w:rsid w:val="00BE3081"/>
    <w:rsid w:val="00C11B6A"/>
    <w:rsid w:val="00C27268"/>
    <w:rsid w:val="00C5252F"/>
    <w:rsid w:val="00C53642"/>
    <w:rsid w:val="00C66CC4"/>
    <w:rsid w:val="00C749B0"/>
    <w:rsid w:val="00C83E31"/>
    <w:rsid w:val="00C97AAF"/>
    <w:rsid w:val="00CB7EE2"/>
    <w:rsid w:val="00CE48FE"/>
    <w:rsid w:val="00D02D4E"/>
    <w:rsid w:val="00D10E28"/>
    <w:rsid w:val="00D75E0D"/>
    <w:rsid w:val="00D8701A"/>
    <w:rsid w:val="00DF07F0"/>
    <w:rsid w:val="00E302F2"/>
    <w:rsid w:val="00E54EB4"/>
    <w:rsid w:val="00EC1EA6"/>
    <w:rsid w:val="00ED2A34"/>
    <w:rsid w:val="00EE4B51"/>
    <w:rsid w:val="00F03EA4"/>
    <w:rsid w:val="00F04B15"/>
    <w:rsid w:val="00F3796B"/>
    <w:rsid w:val="00F67A6C"/>
    <w:rsid w:val="00FB4319"/>
    <w:rsid w:val="00FE069F"/>
    <w:rsid w:val="0201690E"/>
    <w:rsid w:val="05AE1C10"/>
    <w:rsid w:val="0CCF0636"/>
    <w:rsid w:val="1FBD11A0"/>
    <w:rsid w:val="21702D0C"/>
    <w:rsid w:val="24B60608"/>
    <w:rsid w:val="35E122C7"/>
    <w:rsid w:val="361115B5"/>
    <w:rsid w:val="36F61D71"/>
    <w:rsid w:val="4638231C"/>
    <w:rsid w:val="479D78D9"/>
    <w:rsid w:val="4CFB768D"/>
    <w:rsid w:val="4EB70B01"/>
    <w:rsid w:val="54EB0A6B"/>
    <w:rsid w:val="63D062E3"/>
    <w:rsid w:val="6A5E6E7F"/>
    <w:rsid w:val="73DC034B"/>
    <w:rsid w:val="742064CB"/>
    <w:rsid w:val="78172D14"/>
    <w:rsid w:val="792F6B72"/>
    <w:rsid w:val="9EDF3EFB"/>
    <w:rsid w:val="BFF7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qFormat="1"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5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qFormat/>
    <w:uiPriority w:val="0"/>
    <w:pPr>
      <w:suppressLineNumbers/>
      <w:suppressAutoHyphens/>
      <w:spacing w:before="120" w:after="120"/>
    </w:pPr>
    <w:rPr>
      <w:rFonts w:ascii="Calibri" w:hAnsi="Calibri" w:eastAsia="宋体" w:cs="Times New Roman"/>
      <w:i/>
      <w:iCs/>
      <w:sz w:val="24"/>
      <w:szCs w:val="24"/>
    </w:r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link w:val="19"/>
    <w:semiHidden/>
    <w:unhideWhenUsed/>
    <w:qFormat/>
    <w:uiPriority w:val="99"/>
    <w:pPr>
      <w:spacing w:after="120"/>
    </w:pPr>
  </w:style>
  <w:style w:type="paragraph" w:styleId="6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7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footnote text"/>
    <w:basedOn w:val="1"/>
    <w:link w:val="21"/>
    <w:qFormat/>
    <w:uiPriority w:val="0"/>
    <w:pPr>
      <w:snapToGrid w:val="0"/>
      <w:jc w:val="left"/>
    </w:pPr>
    <w:rPr>
      <w:rFonts w:ascii="Calibri" w:hAnsi="Calibri" w:eastAsia="宋体" w:cs="Times New Roman"/>
      <w:sz w:val="18"/>
      <w:szCs w:val="24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1">
    <w:name w:val="Body Text First Indent"/>
    <w:basedOn w:val="1"/>
    <w:next w:val="1"/>
    <w:link w:val="20"/>
    <w:qFormat/>
    <w:uiPriority w:val="0"/>
    <w:pPr>
      <w:ind w:firstLine="420" w:firstLineChars="100"/>
    </w:pPr>
    <w:rPr>
      <w:rFonts w:ascii="Calibri" w:hAnsi="Calibri" w:eastAsia="宋体" w:cs="Times New Roman"/>
      <w:szCs w:val="24"/>
    </w:rPr>
  </w:style>
  <w:style w:type="character" w:styleId="14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customStyle="1" w:styleId="15">
    <w:name w:val="标题 2 字符"/>
    <w:basedOn w:val="13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6">
    <w:name w:val="页眉 字符"/>
    <w:basedOn w:val="13"/>
    <w:link w:val="8"/>
    <w:qFormat/>
    <w:uiPriority w:val="99"/>
    <w:rPr>
      <w:kern w:val="2"/>
      <w:sz w:val="18"/>
      <w:szCs w:val="18"/>
    </w:rPr>
  </w:style>
  <w:style w:type="character" w:customStyle="1" w:styleId="17">
    <w:name w:val="页脚 字符"/>
    <w:basedOn w:val="13"/>
    <w:link w:val="7"/>
    <w:qFormat/>
    <w:uiPriority w:val="99"/>
    <w:rPr>
      <w:kern w:val="2"/>
      <w:sz w:val="18"/>
      <w:szCs w:val="18"/>
    </w:rPr>
  </w:style>
  <w:style w:type="character" w:customStyle="1" w:styleId="18">
    <w:name w:val="批注框文本 字符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9">
    <w:name w:val="正文文本 字符"/>
    <w:basedOn w:val="13"/>
    <w:link w:val="5"/>
    <w:semiHidden/>
    <w:qFormat/>
    <w:uiPriority w:val="99"/>
    <w:rPr>
      <w:kern w:val="2"/>
      <w:sz w:val="21"/>
      <w:szCs w:val="22"/>
    </w:rPr>
  </w:style>
  <w:style w:type="character" w:customStyle="1" w:styleId="20">
    <w:name w:val="正文文本首行缩进 字符"/>
    <w:basedOn w:val="19"/>
    <w:link w:val="11"/>
    <w:qFormat/>
    <w:uiPriority w:val="0"/>
    <w:rPr>
      <w:rFonts w:ascii="Calibri" w:hAnsi="Calibri" w:eastAsia="宋体" w:cs="Times New Roman"/>
      <w:kern w:val="2"/>
      <w:sz w:val="21"/>
      <w:szCs w:val="24"/>
    </w:rPr>
  </w:style>
  <w:style w:type="character" w:customStyle="1" w:styleId="21">
    <w:name w:val="脚注文本 字符"/>
    <w:basedOn w:val="13"/>
    <w:link w:val="9"/>
    <w:qFormat/>
    <w:uiPriority w:val="0"/>
    <w:rPr>
      <w:rFonts w:ascii="Calibri" w:hAnsi="Calibri" w:eastAsia="宋体" w:cs="Times New Roman"/>
      <w:kern w:val="2"/>
      <w:sz w:val="18"/>
      <w:szCs w:val="24"/>
    </w:rPr>
  </w:style>
  <w:style w:type="paragraph" w:customStyle="1" w:styleId="22">
    <w:name w:val="chapter"/>
    <w:basedOn w:val="1"/>
    <w:qFormat/>
    <w:uiPriority w:val="0"/>
    <w:pPr>
      <w:spacing w:before="240" w:after="120"/>
      <w:jc w:val="center"/>
    </w:pPr>
    <w:rPr>
      <w:rFonts w:ascii="黑体" w:hAnsi="黑体" w:eastAsia="黑体"/>
    </w:rPr>
  </w:style>
  <w:style w:type="paragraph" w:customStyle="1" w:styleId="23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4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5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2788</Words>
  <Characters>2816</Characters>
  <Lines>122</Lines>
  <Paragraphs>67</Paragraphs>
  <TotalTime>40</TotalTime>
  <ScaleCrop>false</ScaleCrop>
  <LinksUpToDate>false</LinksUpToDate>
  <CharactersWithSpaces>5537</CharactersWithSpaces>
  <Application>WPS Office_11.8.2.10552_F1E327BC-269C-435d-A152-05C5408002CA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2026-08-20T03:36:00Z</dcterms:created>
  <dc:creator>guolei</dc:creator>
  <cp:lastModifiedBy>leaffly</cp:lastModifiedBy>
  <dcterms:modified xsi:type="dcterms:W3CDTF">2026-09-10T18:11:56Z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2052-11.8.2.10552</vt:lpwstr>
  </property>
  <property fmtid="{D5CDD505-2E9C-101B-9397-08002B2CF9AE}" pid="3" name="ICV">
    <vt:lpwstr>F8DE8DB185AF456E9F74857CEBBC5502_13</vt:lpwstr>
  </property>
  <property fmtid="{D5CDD505-2E9C-101B-9397-08002B2CF9AE}" pid="4" name="KSOTemplateDocerSaveRecord">
    <vt:lpwstr>eyJoZGlkIjoiOTc3M2Y5NzIzMDFlZjAyY2Q4Njk5ODkyYjFjNzBiNTQiLCJ1c2VySWQiOiI1NzY2NzI1NzYifQ==</vt:lpwstr>
  </property>
</Properties>
</file>